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FB" w:rsidRPr="00111FFB" w:rsidRDefault="00111FFB" w:rsidP="00111FFB">
      <w:pPr>
        <w:spacing w:after="0" w:line="240" w:lineRule="auto"/>
        <w:jc w:val="center"/>
        <w:rPr>
          <w:rFonts w:ascii="Verdana" w:eastAsia="Times New Roman" w:hAnsi="Verdana" w:cs="Times New Roman"/>
          <w:b/>
          <w:bCs/>
          <w:color w:val="2377B1"/>
          <w:sz w:val="27"/>
          <w:szCs w:val="27"/>
          <w:lang w:eastAsia="de-DE"/>
        </w:rPr>
      </w:pPr>
      <w:bookmarkStart w:id="0" w:name="_GoBack"/>
      <w:r w:rsidRPr="00111FFB">
        <w:rPr>
          <w:rFonts w:ascii="Verdana" w:eastAsia="Times New Roman" w:hAnsi="Verdana" w:cs="Times New Roman"/>
          <w:b/>
          <w:bCs/>
          <w:color w:val="2377B1"/>
          <w:sz w:val="27"/>
          <w:szCs w:val="27"/>
          <w:lang w:eastAsia="de-DE"/>
        </w:rPr>
        <w:t>Eine Kritik des ‚</w:t>
      </w:r>
      <w:proofErr w:type="spellStart"/>
      <w:r w:rsidRPr="00111FFB">
        <w:rPr>
          <w:rFonts w:ascii="Verdana" w:eastAsia="Times New Roman" w:hAnsi="Verdana" w:cs="Times New Roman"/>
          <w:b/>
          <w:bCs/>
          <w:color w:val="2377B1"/>
          <w:sz w:val="27"/>
          <w:szCs w:val="27"/>
          <w:lang w:eastAsia="de-DE"/>
        </w:rPr>
        <w:t>Instrumentum</w:t>
      </w:r>
      <w:proofErr w:type="spellEnd"/>
      <w:r w:rsidRPr="00111FFB">
        <w:rPr>
          <w:rFonts w:ascii="Verdana" w:eastAsia="Times New Roman" w:hAnsi="Verdana" w:cs="Times New Roman"/>
          <w:b/>
          <w:bCs/>
          <w:color w:val="2377B1"/>
          <w:sz w:val="27"/>
          <w:szCs w:val="27"/>
          <w:lang w:eastAsia="de-DE"/>
        </w:rPr>
        <w:t xml:space="preserve"> </w:t>
      </w:r>
      <w:proofErr w:type="spellStart"/>
      <w:r w:rsidRPr="00111FFB">
        <w:rPr>
          <w:rFonts w:ascii="Verdana" w:eastAsia="Times New Roman" w:hAnsi="Verdana" w:cs="Times New Roman"/>
          <w:b/>
          <w:bCs/>
          <w:color w:val="2377B1"/>
          <w:sz w:val="27"/>
          <w:szCs w:val="27"/>
          <w:lang w:eastAsia="de-DE"/>
        </w:rPr>
        <w:t>Laboris</w:t>
      </w:r>
      <w:proofErr w:type="spellEnd"/>
      <w:r w:rsidRPr="00111FFB">
        <w:rPr>
          <w:rFonts w:ascii="Verdana" w:eastAsia="Times New Roman" w:hAnsi="Verdana" w:cs="Times New Roman"/>
          <w:b/>
          <w:bCs/>
          <w:color w:val="2377B1"/>
          <w:sz w:val="27"/>
          <w:szCs w:val="27"/>
          <w:lang w:eastAsia="de-DE"/>
        </w:rPr>
        <w:t>’ für die Amazonas-</w:t>
      </w:r>
      <w:bookmarkEnd w:id="0"/>
      <w:r w:rsidRPr="00111FFB">
        <w:rPr>
          <w:rFonts w:ascii="Verdana" w:eastAsia="Times New Roman" w:hAnsi="Verdana" w:cs="Times New Roman"/>
          <w:b/>
          <w:bCs/>
          <w:color w:val="2377B1"/>
          <w:sz w:val="27"/>
          <w:szCs w:val="27"/>
          <w:lang w:eastAsia="de-DE"/>
        </w:rPr>
        <w:t>Synode</w:t>
      </w:r>
    </w:p>
    <w:p w:rsidR="00111FFB" w:rsidRPr="00111FFB" w:rsidRDefault="00111FFB" w:rsidP="00111FFB">
      <w:pPr>
        <w:spacing w:after="0" w:line="240" w:lineRule="auto"/>
        <w:rPr>
          <w:rFonts w:ascii="Verdana" w:eastAsia="Times New Roman" w:hAnsi="Verdana" w:cs="Times New Roman"/>
          <w:color w:val="000000"/>
          <w:sz w:val="17"/>
          <w:szCs w:val="17"/>
          <w:lang w:eastAsia="de-DE"/>
        </w:rPr>
      </w:pPr>
    </w:p>
    <w:p w:rsidR="00111FFB" w:rsidRPr="00111FFB" w:rsidRDefault="00111FFB" w:rsidP="00111FFB">
      <w:pPr>
        <w:spacing w:after="0" w:line="240" w:lineRule="auto"/>
        <w:rPr>
          <w:rFonts w:ascii="Verdana" w:eastAsia="Times New Roman" w:hAnsi="Verdana" w:cs="Times New Roman"/>
          <w:color w:val="000000"/>
          <w:sz w:val="17"/>
          <w:szCs w:val="17"/>
          <w:lang w:eastAsia="de-DE"/>
        </w:rPr>
      </w:pPr>
      <w:r w:rsidRPr="00111FFB">
        <w:rPr>
          <w:rFonts w:ascii="Verdana" w:eastAsia="Times New Roman" w:hAnsi="Verdana" w:cs="Times New Roman"/>
          <w:color w:val="000000"/>
          <w:sz w:val="17"/>
          <w:szCs w:val="17"/>
          <w:lang w:eastAsia="de-DE"/>
        </w:rPr>
        <w:br/>
        <w:t> </w:t>
      </w:r>
    </w:p>
    <w:p w:rsidR="00111FFB" w:rsidRPr="00111FFB" w:rsidRDefault="00111FFB" w:rsidP="00111FFB">
      <w:pPr>
        <w:spacing w:after="0" w:line="240" w:lineRule="auto"/>
        <w:rPr>
          <w:rFonts w:eastAsia="Times New Roman" w:cs="Times New Roman"/>
          <w:b/>
          <w:bCs/>
          <w:i/>
          <w:color w:val="000000"/>
          <w:sz w:val="28"/>
          <w:szCs w:val="28"/>
          <w:lang w:eastAsia="de-DE"/>
        </w:rPr>
      </w:pPr>
      <w:r w:rsidRPr="00111FFB">
        <w:rPr>
          <w:rFonts w:eastAsia="Times New Roman" w:cs="Times New Roman"/>
          <w:b/>
          <w:bCs/>
          <w:i/>
          <w:color w:val="000000"/>
          <w:sz w:val="28"/>
          <w:szCs w:val="28"/>
          <w:lang w:eastAsia="de-DE"/>
        </w:rPr>
        <w:t xml:space="preserve">‚Sofern sogar die Tatsache der Göttlichen Offenbarung in Frage gestellt bzw. missverstanden wird, ist darüber hinaus von Apostasie zu sprechen’.    </w:t>
      </w:r>
    </w:p>
    <w:p w:rsidR="00111FFB" w:rsidRPr="00111FFB" w:rsidRDefault="00111FFB" w:rsidP="00111FFB">
      <w:pPr>
        <w:spacing w:after="0" w:line="240" w:lineRule="auto"/>
        <w:rPr>
          <w:rFonts w:eastAsia="Times New Roman" w:cs="Times New Roman"/>
          <w:b/>
          <w:bCs/>
          <w:i/>
          <w:color w:val="000000"/>
          <w:sz w:val="28"/>
          <w:szCs w:val="28"/>
          <w:lang w:eastAsia="de-DE"/>
        </w:rPr>
      </w:pPr>
    </w:p>
    <w:p w:rsidR="00111FFB" w:rsidRPr="00111FFB" w:rsidRDefault="00111FFB" w:rsidP="00111FFB">
      <w:pPr>
        <w:spacing w:after="0" w:line="240" w:lineRule="auto"/>
        <w:jc w:val="center"/>
        <w:rPr>
          <w:rFonts w:eastAsia="Times New Roman" w:cs="Times New Roman"/>
          <w:b/>
          <w:bCs/>
          <w:color w:val="000000"/>
          <w:sz w:val="28"/>
          <w:szCs w:val="28"/>
          <w:lang w:eastAsia="de-DE"/>
        </w:rPr>
      </w:pPr>
      <w:r>
        <w:rPr>
          <w:rFonts w:eastAsia="Times New Roman" w:cs="Times New Roman"/>
          <w:b/>
          <w:bCs/>
          <w:color w:val="000000"/>
          <w:sz w:val="28"/>
          <w:szCs w:val="28"/>
          <w:lang w:eastAsia="de-DE"/>
        </w:rPr>
        <w:t xml:space="preserve">      </w:t>
      </w:r>
      <w:r w:rsidRPr="00111FFB">
        <w:rPr>
          <w:rFonts w:eastAsia="Times New Roman" w:cs="Times New Roman"/>
          <w:b/>
          <w:bCs/>
          <w:color w:val="000000"/>
          <w:sz w:val="28"/>
          <w:szCs w:val="28"/>
          <w:lang w:eastAsia="de-DE"/>
        </w:rPr>
        <w:t>Von Walter Kardinal Brandmüller</w:t>
      </w:r>
    </w:p>
    <w:p w:rsidR="00111FFB" w:rsidRPr="00111FFB" w:rsidRDefault="00111FFB" w:rsidP="00111FFB">
      <w:pPr>
        <w:pStyle w:val="Listenabsatz"/>
        <w:spacing w:before="100" w:beforeAutospacing="1" w:after="100" w:afterAutospacing="1" w:line="240" w:lineRule="auto"/>
        <w:ind w:left="927"/>
        <w:jc w:val="center"/>
        <w:rPr>
          <w:rFonts w:eastAsia="Times New Roman" w:cs="Times New Roman"/>
          <w:color w:val="000000"/>
          <w:sz w:val="28"/>
          <w:szCs w:val="28"/>
          <w:lang w:eastAsia="de-DE"/>
        </w:rPr>
      </w:pPr>
      <w:r w:rsidRPr="00111FFB">
        <w:rPr>
          <w:rFonts w:eastAsia="Times New Roman" w:cs="Times New Roman"/>
          <w:color w:val="000000"/>
          <w:sz w:val="28"/>
          <w:szCs w:val="28"/>
          <w:lang w:eastAsia="de-DE"/>
        </w:rPr>
        <w:t>Rom (kath.net/</w:t>
      </w:r>
      <w:proofErr w:type="spellStart"/>
      <w:r w:rsidRPr="00111FFB">
        <w:rPr>
          <w:rFonts w:eastAsia="Times New Roman" w:cs="Times New Roman"/>
          <w:color w:val="000000"/>
          <w:sz w:val="28"/>
          <w:szCs w:val="28"/>
          <w:lang w:eastAsia="de-DE"/>
        </w:rPr>
        <w:t>as</w:t>
      </w:r>
      <w:proofErr w:type="spellEnd"/>
      <w:r w:rsidRPr="00111FFB">
        <w:rPr>
          <w:rFonts w:eastAsia="Times New Roman" w:cs="Times New Roman"/>
          <w:color w:val="000000"/>
          <w:sz w:val="28"/>
          <w:szCs w:val="28"/>
          <w:lang w:eastAsia="de-DE"/>
        </w:rPr>
        <w:t>/</w:t>
      </w:r>
      <w:proofErr w:type="spellStart"/>
      <w:r w:rsidRPr="00111FFB">
        <w:rPr>
          <w:rFonts w:eastAsia="Times New Roman" w:cs="Times New Roman"/>
          <w:color w:val="000000"/>
          <w:sz w:val="28"/>
          <w:szCs w:val="28"/>
          <w:lang w:eastAsia="de-DE"/>
        </w:rPr>
        <w:t>wb</w:t>
      </w:r>
      <w:proofErr w:type="spellEnd"/>
      <w:r w:rsidRPr="00111FFB">
        <w:rPr>
          <w:rFonts w:eastAsia="Times New Roman" w:cs="Times New Roman"/>
          <w:color w:val="000000"/>
          <w:sz w:val="28"/>
          <w:szCs w:val="28"/>
          <w:lang w:eastAsia="de-DE"/>
        </w:rPr>
        <w:t>) Walter Kardinal Brandmüller kritisiert heute nachdrücklich das am 17. Juni 2019 veröffentlichte Arbeitsdokument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der bevorstehenden Pan-Amazonas-Synode vom Oktober 2019. Der Kardinal schrieb dieses Dokument für die amerikanisch-kanadische Internetseite </w:t>
      </w:r>
      <w:proofErr w:type="spellStart"/>
      <w:r w:rsidRPr="00111FFB">
        <w:rPr>
          <w:rFonts w:eastAsia="Times New Roman" w:cs="Times New Roman"/>
          <w:color w:val="000000"/>
          <w:sz w:val="28"/>
          <w:szCs w:val="28"/>
          <w:lang w:eastAsia="de-DE"/>
        </w:rPr>
        <w:fldChar w:fldCharType="begin"/>
      </w:r>
      <w:r w:rsidRPr="00111FFB">
        <w:rPr>
          <w:rFonts w:eastAsia="Times New Roman" w:cs="Times New Roman"/>
          <w:color w:val="000000"/>
          <w:sz w:val="28"/>
          <w:szCs w:val="28"/>
          <w:lang w:eastAsia="de-DE"/>
        </w:rPr>
        <w:instrText xml:space="preserve"> HYPERLINK "https://www.lifesitenews.com/news/cardinal-critiques-amazon-synod-working-doc-as-heretical...apostasy-urges-bishops-to-reject-it" </w:instrText>
      </w:r>
      <w:r w:rsidRPr="00111FFB">
        <w:rPr>
          <w:rFonts w:eastAsia="Times New Roman" w:cs="Times New Roman"/>
          <w:color w:val="000000"/>
          <w:sz w:val="28"/>
          <w:szCs w:val="28"/>
          <w:lang w:eastAsia="de-DE"/>
        </w:rPr>
        <w:fldChar w:fldCharType="separate"/>
      </w:r>
      <w:r w:rsidRPr="00111FFB">
        <w:rPr>
          <w:rFonts w:eastAsia="Times New Roman" w:cs="Times New Roman"/>
          <w:color w:val="043A8C"/>
          <w:sz w:val="28"/>
          <w:szCs w:val="28"/>
          <w:lang w:eastAsia="de-DE"/>
        </w:rPr>
        <w:t>LifeSiteNews</w:t>
      </w:r>
      <w:proofErr w:type="spellEnd"/>
      <w:r w:rsidRPr="00111FFB">
        <w:rPr>
          <w:rFonts w:eastAsia="Times New Roman" w:cs="Times New Roman"/>
          <w:color w:val="000000"/>
          <w:sz w:val="28"/>
          <w:szCs w:val="28"/>
          <w:lang w:eastAsia="de-DE"/>
        </w:rPr>
        <w:fldChar w:fldCharType="end"/>
      </w:r>
      <w:r w:rsidRPr="00111FFB">
        <w:rPr>
          <w:rFonts w:eastAsia="Times New Roman" w:cs="Times New Roman"/>
          <w:color w:val="000000"/>
          <w:sz w:val="28"/>
          <w:szCs w:val="28"/>
          <w:lang w:eastAsia="de-DE"/>
        </w:rPr>
        <w:t> sowie für die katholische Internetzeitung kath.net.</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Vor allem aber befasst sich der Kirchenhistoriker in vier Abschnitten mit vier Hauptproblemen des Textes, von denen eines in seinen Augen die Gefahr des „Abfalls vom Glauben“ birgt. Zu der Behauptung, dass die Ureinwohner Brasiliens eine besondere Quelle der Offenbarung sind, führt er aus: „Sofern sogar die Tatsache der Göttlichen Offenbarung in Frage gestellt bzw. missverstanden wird, ist darüber hinaus von Apostasie zu sprechen“.</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Eine Kritik des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für die Amazonas-Synode</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b/>
          <w:bCs/>
          <w:color w:val="000000"/>
          <w:sz w:val="28"/>
          <w:szCs w:val="28"/>
          <w:lang w:eastAsia="de-DE"/>
        </w:rPr>
        <w:t>1. Einführung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b/>
          <w:color w:val="000000"/>
          <w:sz w:val="28"/>
          <w:szCs w:val="28"/>
          <w:lang w:eastAsia="de-DE"/>
        </w:rPr>
        <w:t>Dass im Gegensatz zu früheren Versammlungen dieses Mal die Bischofssynode sich ausschließlich mit den Problemen einer Gegend der Erde befassen soll, deren Einwohnerzahl gerade die Hälfte jener von Mexico-City, d.h. etwa 4 Millionen beträgt, kann durchaus Verwunderung hervorrufen.</w:t>
      </w:r>
      <w:r w:rsidRPr="00111FFB">
        <w:rPr>
          <w:rFonts w:eastAsia="Times New Roman" w:cs="Times New Roman"/>
          <w:color w:val="000000"/>
          <w:sz w:val="28"/>
          <w:szCs w:val="28"/>
          <w:lang w:eastAsia="de-DE"/>
        </w:rPr>
        <w:t xml:space="preserve"> Ebenso gibt es Anlass zu Verdacht bezüglich der wahren Absichten, die hiermit </w:t>
      </w:r>
      <w:proofErr w:type="spellStart"/>
      <w:r w:rsidRPr="00111FFB">
        <w:rPr>
          <w:rFonts w:eastAsia="Times New Roman" w:cs="Times New Roman"/>
          <w:color w:val="000000"/>
          <w:sz w:val="28"/>
          <w:szCs w:val="28"/>
          <w:lang w:eastAsia="de-DE"/>
        </w:rPr>
        <w:t>klandestin</w:t>
      </w:r>
      <w:proofErr w:type="spellEnd"/>
      <w:r w:rsidRPr="00111FFB">
        <w:rPr>
          <w:rFonts w:eastAsia="Times New Roman" w:cs="Times New Roman"/>
          <w:color w:val="000000"/>
          <w:sz w:val="28"/>
          <w:szCs w:val="28"/>
          <w:lang w:eastAsia="de-DE"/>
        </w:rPr>
        <w:t xml:space="preserve"> verfolgt werden sollen. Insbesondere aber wird zu fragen sein, welches Verständnis von Religion, von Christentum und Kirche dem Text des nun veröffentlichten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zu Grunde liegen. Dies soll an Hand einzelner Elemente des Textes geschehen.</w:t>
      </w:r>
    </w:p>
    <w:p w:rsidR="00111FFB" w:rsidRDefault="00111FFB" w:rsidP="00111FFB">
      <w:pPr>
        <w:spacing w:before="100" w:beforeAutospacing="1" w:after="100" w:afterAutospacing="1" w:line="240" w:lineRule="auto"/>
        <w:jc w:val="center"/>
        <w:rPr>
          <w:rFonts w:eastAsia="Times New Roman" w:cs="Times New Roman"/>
          <w:b/>
          <w:bCs/>
          <w:color w:val="000000"/>
          <w:sz w:val="28"/>
          <w:szCs w:val="28"/>
          <w:lang w:eastAsia="de-DE"/>
        </w:rPr>
      </w:pPr>
      <w:r w:rsidRPr="00111FFB">
        <w:rPr>
          <w:rFonts w:eastAsia="Times New Roman" w:cs="Times New Roman"/>
          <w:color w:val="000000"/>
          <w:sz w:val="28"/>
          <w:szCs w:val="28"/>
          <w:lang w:eastAsia="de-DE"/>
        </w:rPr>
        <w:br/>
      </w:r>
    </w:p>
    <w:p w:rsidR="00111FFB" w:rsidRPr="00111FFB" w:rsidRDefault="00111FFB" w:rsidP="00111FFB">
      <w:pPr>
        <w:spacing w:before="100" w:beforeAutospacing="1" w:after="100" w:afterAutospacing="1" w:line="240" w:lineRule="auto"/>
        <w:jc w:val="center"/>
        <w:rPr>
          <w:rFonts w:eastAsia="Times New Roman" w:cs="Times New Roman"/>
          <w:color w:val="000000"/>
          <w:sz w:val="28"/>
          <w:szCs w:val="28"/>
          <w:lang w:eastAsia="de-DE"/>
        </w:rPr>
      </w:pPr>
      <w:r w:rsidRPr="00111FFB">
        <w:rPr>
          <w:rFonts w:eastAsia="Times New Roman" w:cs="Times New Roman"/>
          <w:b/>
          <w:bCs/>
          <w:color w:val="000000"/>
          <w:sz w:val="28"/>
          <w:szCs w:val="28"/>
          <w:lang w:eastAsia="de-DE"/>
        </w:rPr>
        <w:lastRenderedPageBreak/>
        <w:t>2. Warum eine Synode über diese Region?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Ganz grundsätzlich ist zu fragen, warum eine Bischofssynode sich mit Themen befassen soll, die – so drei Viertel des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 allenfalls am Rande mit dem Evangelium und der Kirche zu tun haben. </w:t>
      </w:r>
      <w:r w:rsidRPr="00111FFB">
        <w:rPr>
          <w:rFonts w:eastAsia="Times New Roman" w:cs="Times New Roman"/>
          <w:b/>
          <w:color w:val="000000"/>
          <w:sz w:val="28"/>
          <w:szCs w:val="28"/>
          <w:lang w:eastAsia="de-DE"/>
        </w:rPr>
        <w:t xml:space="preserve">Offenbar geschieht hier seitens der Bischofssynode eine übergriffige Einmischung in rein weltliche Angelegenheiten von Staat und Gesellschaft Brasiliens und der anderen im Dokument erwähnten Staaten (Bolivien, Peru, Ecuador, Kolumbien, Venezuela, Guyana, Suriname und Französisch Guyana). </w:t>
      </w:r>
      <w:r w:rsidRPr="00111FFB">
        <w:rPr>
          <w:rFonts w:eastAsia="Times New Roman" w:cs="Times New Roman"/>
          <w:color w:val="000000"/>
          <w:sz w:val="28"/>
          <w:szCs w:val="28"/>
          <w:lang w:eastAsia="de-DE"/>
        </w:rPr>
        <w:t>Was haben – so fragt man – Ökologie, Ökonomie und Politik mit dem Auftrag der Kirche zu tun? Und vor allem: Welche fachliche Kompetenz legitimiert eine kirchliche Bischofssynode, sich zu solchen Sachgebieten zu äußern?</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Sollte die Bischofssynode dies wirklich tun, wäre dies in der Tat Grenzüberschreitung und </w:t>
      </w:r>
      <w:r w:rsidRPr="00111FFB">
        <w:rPr>
          <w:rFonts w:eastAsia="Times New Roman" w:cs="Times New Roman"/>
          <w:b/>
          <w:color w:val="000000"/>
          <w:sz w:val="28"/>
          <w:szCs w:val="28"/>
          <w:lang w:eastAsia="de-DE"/>
        </w:rPr>
        <w:t>klerikalistische Anmaßung,</w:t>
      </w:r>
      <w:r w:rsidRPr="00111FFB">
        <w:rPr>
          <w:rFonts w:eastAsia="Times New Roman" w:cs="Times New Roman"/>
          <w:color w:val="000000"/>
          <w:sz w:val="28"/>
          <w:szCs w:val="28"/>
          <w:lang w:eastAsia="de-DE"/>
        </w:rPr>
        <w:t xml:space="preserve"> welche die staatliche Autorität entschieden zurückweisen müsste.</w:t>
      </w:r>
      <w:r w:rsidRPr="00111FFB">
        <w:rPr>
          <w:rFonts w:eastAsia="Times New Roman" w:cs="Times New Roman"/>
          <w:color w:val="000000"/>
          <w:sz w:val="28"/>
          <w:szCs w:val="28"/>
          <w:lang w:eastAsia="de-DE"/>
        </w:rPr>
        <w:br/>
        <w:t>3</w:t>
      </w:r>
    </w:p>
    <w:p w:rsidR="00111FFB" w:rsidRPr="00111FFB" w:rsidRDefault="00111FFB" w:rsidP="00111FFB">
      <w:pPr>
        <w:pStyle w:val="Listenabsatz"/>
        <w:numPr>
          <w:ilvl w:val="0"/>
          <w:numId w:val="1"/>
        </w:numPr>
        <w:spacing w:before="100" w:beforeAutospacing="1" w:after="100" w:afterAutospacing="1" w:line="240" w:lineRule="auto"/>
        <w:jc w:val="center"/>
        <w:rPr>
          <w:rFonts w:eastAsia="Times New Roman" w:cs="Times New Roman"/>
          <w:color w:val="000000"/>
          <w:sz w:val="28"/>
          <w:szCs w:val="28"/>
          <w:lang w:eastAsia="de-DE"/>
        </w:rPr>
      </w:pPr>
      <w:r w:rsidRPr="00111FFB">
        <w:rPr>
          <w:rFonts w:eastAsia="Times New Roman" w:cs="Times New Roman"/>
          <w:b/>
          <w:bCs/>
          <w:color w:val="000000"/>
          <w:sz w:val="28"/>
          <w:szCs w:val="28"/>
          <w:lang w:eastAsia="de-DE"/>
        </w:rPr>
        <w:t xml:space="preserve">Über natürliche Religionen und </w:t>
      </w:r>
      <w:proofErr w:type="spellStart"/>
      <w:r w:rsidRPr="00111FFB">
        <w:rPr>
          <w:rFonts w:eastAsia="Times New Roman" w:cs="Times New Roman"/>
          <w:b/>
          <w:bCs/>
          <w:color w:val="000000"/>
          <w:sz w:val="28"/>
          <w:szCs w:val="28"/>
          <w:lang w:eastAsia="de-DE"/>
        </w:rPr>
        <w:t>Inkulturation</w:t>
      </w:r>
      <w:proofErr w:type="spellEnd"/>
      <w:r w:rsidRPr="00111FFB">
        <w:rPr>
          <w:rFonts w:eastAsia="Times New Roman" w:cs="Times New Roman"/>
          <w:b/>
          <w:bCs/>
          <w:color w:val="000000"/>
          <w:sz w:val="28"/>
          <w:szCs w:val="28"/>
          <w:lang w:eastAsia="de-DE"/>
        </w:rPr>
        <w:t>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Ein weiteres Moment kommt hinzu, das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insgesamt durchzieht: </w:t>
      </w:r>
      <w:r w:rsidRPr="00111FFB">
        <w:rPr>
          <w:rFonts w:eastAsia="Times New Roman" w:cs="Times New Roman"/>
          <w:b/>
          <w:color w:val="000000"/>
          <w:sz w:val="28"/>
          <w:szCs w:val="28"/>
          <w:lang w:eastAsia="de-DE"/>
        </w:rPr>
        <w:t>die überaus positive Wertung der Naturreligionen einschließlich indigener Heilpraktiken etc., ja selbst mythisch-religiöser Praktiken und Kultformen</w:t>
      </w:r>
      <w:r w:rsidRPr="00111FFB">
        <w:rPr>
          <w:rFonts w:eastAsia="Times New Roman" w:cs="Times New Roman"/>
          <w:color w:val="000000"/>
          <w:sz w:val="28"/>
          <w:szCs w:val="28"/>
          <w:lang w:eastAsia="de-DE"/>
        </w:rPr>
        <w:t xml:space="preserve">. Da ist etwa im Zusammenhang mit der Forderung nach Harmonie mit der Natur auch </w:t>
      </w:r>
      <w:r w:rsidRPr="00111FFB">
        <w:rPr>
          <w:rFonts w:eastAsia="Times New Roman" w:cs="Times New Roman"/>
          <w:b/>
          <w:color w:val="000000"/>
          <w:sz w:val="28"/>
          <w:szCs w:val="28"/>
          <w:lang w:eastAsia="de-DE"/>
        </w:rPr>
        <w:t>vom Dialog mit den Geistern die Rede</w:t>
      </w:r>
      <w:r w:rsidRPr="00111FFB">
        <w:rPr>
          <w:rFonts w:eastAsia="Times New Roman" w:cs="Times New Roman"/>
          <w:color w:val="000000"/>
          <w:sz w:val="28"/>
          <w:szCs w:val="28"/>
          <w:lang w:eastAsia="de-DE"/>
        </w:rPr>
        <w:t xml:space="preserve"> (Nr. 75).</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Es ist nicht nur das aufklärerische, </w:t>
      </w:r>
      <w:proofErr w:type="spellStart"/>
      <w:r w:rsidRPr="00111FFB">
        <w:rPr>
          <w:rFonts w:eastAsia="Times New Roman" w:cs="Times New Roman"/>
          <w:color w:val="000000"/>
          <w:sz w:val="28"/>
          <w:szCs w:val="28"/>
          <w:lang w:eastAsia="de-DE"/>
        </w:rPr>
        <w:t>Rousseau’sche</w:t>
      </w:r>
      <w:proofErr w:type="spellEnd"/>
      <w:r w:rsidRPr="00111FFB">
        <w:rPr>
          <w:rFonts w:eastAsia="Times New Roman" w:cs="Times New Roman"/>
          <w:color w:val="000000"/>
          <w:sz w:val="28"/>
          <w:szCs w:val="28"/>
          <w:lang w:eastAsia="de-DE"/>
        </w:rPr>
        <w:t xml:space="preserve"> Ideal des „edlen Wilden“, der dem dekadenten Europäer entgegengesetzt wird. Dieser Gedankenfaden setzt sich fort, bis er dann um die Wende zum 20. Jahrhundert in eine pantheistische </w:t>
      </w:r>
      <w:proofErr w:type="spellStart"/>
      <w:r w:rsidRPr="00111FFB">
        <w:rPr>
          <w:rFonts w:eastAsia="Times New Roman" w:cs="Times New Roman"/>
          <w:color w:val="000000"/>
          <w:sz w:val="28"/>
          <w:szCs w:val="28"/>
          <w:lang w:eastAsia="de-DE"/>
        </w:rPr>
        <w:t>Naturvergötzung</w:t>
      </w:r>
      <w:proofErr w:type="spellEnd"/>
      <w:r w:rsidRPr="00111FFB">
        <w:rPr>
          <w:rFonts w:eastAsia="Times New Roman" w:cs="Times New Roman"/>
          <w:color w:val="000000"/>
          <w:sz w:val="28"/>
          <w:szCs w:val="28"/>
          <w:lang w:eastAsia="de-DE"/>
        </w:rPr>
        <w:t xml:space="preserve"> mündet. Hermann Claudius (1913) schuf die Hymne der sozialistischen Arbeiterbewegung „</w:t>
      </w:r>
      <w:r w:rsidRPr="00111FFB">
        <w:rPr>
          <w:rFonts w:eastAsia="Times New Roman" w:cs="Times New Roman"/>
          <w:b/>
          <w:color w:val="000000"/>
          <w:sz w:val="28"/>
          <w:szCs w:val="28"/>
          <w:lang w:eastAsia="de-DE"/>
        </w:rPr>
        <w:t>Wenn wir schreiten Seit an Seit‘…“, deren eine Strophe lautet: „Birkengrün und Saatengrün, wie mit bittender Gebärde hält die alte Mutter Erde, dass der Mensch ihr Eigen werde, ihm die vollen Hände hin…“.</w:t>
      </w:r>
      <w:r w:rsidRPr="00111FFB">
        <w:rPr>
          <w:rFonts w:eastAsia="Times New Roman" w:cs="Times New Roman"/>
          <w:b/>
          <w:color w:val="000000"/>
          <w:sz w:val="28"/>
          <w:szCs w:val="28"/>
          <w:lang w:eastAsia="de-DE"/>
        </w:rPr>
        <w:br/>
      </w:r>
      <w:r w:rsidRPr="00111FFB">
        <w:rPr>
          <w:rFonts w:eastAsia="Times New Roman" w:cs="Times New Roman"/>
          <w:color w:val="000000"/>
          <w:sz w:val="28"/>
          <w:szCs w:val="28"/>
          <w:lang w:eastAsia="de-DE"/>
        </w:rPr>
        <w:br/>
        <w:t xml:space="preserve">Es ist festzustellen, dass </w:t>
      </w:r>
      <w:r w:rsidRPr="00111FFB">
        <w:rPr>
          <w:rFonts w:eastAsia="Times New Roman" w:cs="Times New Roman"/>
          <w:b/>
          <w:color w:val="000000"/>
          <w:sz w:val="28"/>
          <w:szCs w:val="28"/>
          <w:lang w:eastAsia="de-DE"/>
        </w:rPr>
        <w:t>dieser Text in das Liederbuch der Hitlerjugend übernommen</w:t>
      </w:r>
      <w:r w:rsidRPr="00111FFB">
        <w:rPr>
          <w:rFonts w:eastAsia="Times New Roman" w:cs="Times New Roman"/>
          <w:color w:val="000000"/>
          <w:sz w:val="28"/>
          <w:szCs w:val="28"/>
          <w:lang w:eastAsia="de-DE"/>
        </w:rPr>
        <w:t xml:space="preserve"> wurde, vermutlich weil er dem nationalsozialistischen Blut- und Boden-Mythos entsprach. Diese ideologische Nähe ist bemerkenswert. Die in solchen Texten zum Ausdruck kommende </w:t>
      </w:r>
      <w:r w:rsidRPr="00111FFB">
        <w:rPr>
          <w:rFonts w:eastAsia="Times New Roman" w:cs="Times New Roman"/>
          <w:color w:val="000000"/>
          <w:sz w:val="28"/>
          <w:szCs w:val="28"/>
          <w:lang w:eastAsia="de-DE"/>
        </w:rPr>
        <w:lastRenderedPageBreak/>
        <w:t>antirationale Absage an die vernunftbetonte „westliche“ Kultur ist charakteristisch für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das in Nr. 44 von „Mutter Erde“, bzw. dann auch von </w:t>
      </w:r>
      <w:r w:rsidRPr="00111FFB">
        <w:rPr>
          <w:rFonts w:eastAsia="Times New Roman" w:cs="Times New Roman"/>
          <w:b/>
          <w:color w:val="000000"/>
          <w:sz w:val="28"/>
          <w:szCs w:val="28"/>
          <w:lang w:eastAsia="de-DE"/>
        </w:rPr>
        <w:t>dem „Schrei der Erde und der Völker“</w:t>
      </w:r>
      <w:r w:rsidRPr="00111FFB">
        <w:rPr>
          <w:rFonts w:eastAsia="Times New Roman" w:cs="Times New Roman"/>
          <w:color w:val="000000"/>
          <w:sz w:val="28"/>
          <w:szCs w:val="28"/>
          <w:lang w:eastAsia="de-DE"/>
        </w:rPr>
        <w:t xml:space="preserve"> (Nr.101) spricht.</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Dementsprechend wird auch das Territorium – also die Wälder </w:t>
      </w:r>
      <w:proofErr w:type="spellStart"/>
      <w:r w:rsidRPr="00111FFB">
        <w:rPr>
          <w:rFonts w:eastAsia="Times New Roman" w:cs="Times New Roman"/>
          <w:color w:val="000000"/>
          <w:sz w:val="28"/>
          <w:szCs w:val="28"/>
          <w:lang w:eastAsia="de-DE"/>
        </w:rPr>
        <w:t>Amazoniens</w:t>
      </w:r>
      <w:proofErr w:type="spellEnd"/>
      <w:r w:rsidRPr="00111FFB">
        <w:rPr>
          <w:rFonts w:eastAsia="Times New Roman" w:cs="Times New Roman"/>
          <w:color w:val="000000"/>
          <w:sz w:val="28"/>
          <w:szCs w:val="28"/>
          <w:lang w:eastAsia="de-DE"/>
        </w:rPr>
        <w:t xml:space="preserve"> – sogar zu einem „</w:t>
      </w:r>
      <w:proofErr w:type="spellStart"/>
      <w:r w:rsidRPr="00111FFB">
        <w:rPr>
          <w:rFonts w:eastAsia="Times New Roman" w:cs="Times New Roman"/>
          <w:b/>
          <w:color w:val="000000"/>
          <w:sz w:val="28"/>
          <w:szCs w:val="28"/>
          <w:lang w:eastAsia="de-DE"/>
        </w:rPr>
        <w:t>locus</w:t>
      </w:r>
      <w:proofErr w:type="spellEnd"/>
      <w:r w:rsidRPr="00111FFB">
        <w:rPr>
          <w:rFonts w:eastAsia="Times New Roman" w:cs="Times New Roman"/>
          <w:b/>
          <w:color w:val="000000"/>
          <w:sz w:val="28"/>
          <w:szCs w:val="28"/>
          <w:lang w:eastAsia="de-DE"/>
        </w:rPr>
        <w:t xml:space="preserve"> </w:t>
      </w:r>
      <w:proofErr w:type="spellStart"/>
      <w:r w:rsidRPr="00111FFB">
        <w:rPr>
          <w:rFonts w:eastAsia="Times New Roman" w:cs="Times New Roman"/>
          <w:b/>
          <w:color w:val="000000"/>
          <w:sz w:val="28"/>
          <w:szCs w:val="28"/>
          <w:lang w:eastAsia="de-DE"/>
        </w:rPr>
        <w:t>theologicus</w:t>
      </w:r>
      <w:proofErr w:type="spellEnd"/>
      <w:r w:rsidRPr="00111FFB">
        <w:rPr>
          <w:rFonts w:eastAsia="Times New Roman" w:cs="Times New Roman"/>
          <w:b/>
          <w:color w:val="000000"/>
          <w:sz w:val="28"/>
          <w:szCs w:val="28"/>
          <w:lang w:eastAsia="de-DE"/>
        </w:rPr>
        <w:t>“</w:t>
      </w:r>
      <w:r w:rsidRPr="00111FFB">
        <w:rPr>
          <w:rFonts w:eastAsia="Times New Roman" w:cs="Times New Roman"/>
          <w:color w:val="000000"/>
          <w:sz w:val="28"/>
          <w:szCs w:val="28"/>
          <w:lang w:eastAsia="de-DE"/>
        </w:rPr>
        <w:t>, eine besondere Quelle der Göttlichen Offenbarung. Hier sind Orte der Epiphanie, wo sich die Reserven von Leben und Weisheit des Planeten zeigen, die von Gott sprechen (Nr. 19). Die hier zum Ausdruck gekommene antirationale Absage an die vernunftbetonte „westliche“ Kultur ist, wie schon gesagt, charakteristisch für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Der damit verbundene </w:t>
      </w:r>
      <w:r w:rsidRPr="00111FFB">
        <w:rPr>
          <w:rFonts w:eastAsia="Times New Roman" w:cs="Times New Roman"/>
          <w:b/>
          <w:color w:val="000000"/>
          <w:sz w:val="28"/>
          <w:szCs w:val="28"/>
          <w:lang w:eastAsia="de-DE"/>
        </w:rPr>
        <w:t>Rückfall vom Logos zum Mythos</w:t>
      </w:r>
      <w:r w:rsidRPr="00111FFB">
        <w:rPr>
          <w:rFonts w:eastAsia="Times New Roman" w:cs="Times New Roman"/>
          <w:color w:val="000000"/>
          <w:sz w:val="28"/>
          <w:szCs w:val="28"/>
          <w:lang w:eastAsia="de-DE"/>
        </w:rPr>
        <w:t xml:space="preserve"> wird indes </w:t>
      </w:r>
      <w:r w:rsidRPr="00111FFB">
        <w:rPr>
          <w:rFonts w:eastAsia="Times New Roman" w:cs="Times New Roman"/>
          <w:b/>
          <w:color w:val="000000"/>
          <w:sz w:val="28"/>
          <w:szCs w:val="28"/>
          <w:lang w:eastAsia="de-DE"/>
        </w:rPr>
        <w:t>zum Kriterium</w:t>
      </w:r>
      <w:r w:rsidRPr="00111FFB">
        <w:rPr>
          <w:rFonts w:eastAsia="Times New Roman" w:cs="Times New Roman"/>
          <w:color w:val="000000"/>
          <w:sz w:val="28"/>
          <w:szCs w:val="28"/>
          <w:lang w:eastAsia="de-DE"/>
        </w:rPr>
        <w:t xml:space="preserve"> dessen erhoben, was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unter </w:t>
      </w:r>
      <w:proofErr w:type="spellStart"/>
      <w:r w:rsidRPr="00111FFB">
        <w:rPr>
          <w:rFonts w:eastAsia="Times New Roman" w:cs="Times New Roman"/>
          <w:color w:val="000000"/>
          <w:sz w:val="28"/>
          <w:szCs w:val="28"/>
          <w:lang w:eastAsia="de-DE"/>
        </w:rPr>
        <w:t>Inkulturation</w:t>
      </w:r>
      <w:proofErr w:type="spellEnd"/>
      <w:r w:rsidRPr="00111FFB">
        <w:rPr>
          <w:rFonts w:eastAsia="Times New Roman" w:cs="Times New Roman"/>
          <w:color w:val="000000"/>
          <w:sz w:val="28"/>
          <w:szCs w:val="28"/>
          <w:lang w:eastAsia="de-DE"/>
        </w:rPr>
        <w:t xml:space="preserve"> der Kirche versteht. </w:t>
      </w:r>
      <w:r w:rsidRPr="00111FFB">
        <w:rPr>
          <w:rFonts w:eastAsia="Times New Roman" w:cs="Times New Roman"/>
          <w:b/>
          <w:color w:val="000000"/>
          <w:sz w:val="28"/>
          <w:szCs w:val="28"/>
          <w:lang w:eastAsia="de-DE"/>
        </w:rPr>
        <w:t>Das Ergebnis ist Naturreligion in christlicher Maskerade.</w:t>
      </w:r>
      <w:r w:rsidRPr="00111FFB">
        <w:rPr>
          <w:rFonts w:eastAsia="Times New Roman" w:cs="Times New Roman"/>
          <w:b/>
          <w:color w:val="000000"/>
          <w:sz w:val="28"/>
          <w:szCs w:val="28"/>
          <w:lang w:eastAsia="de-DE"/>
        </w:rPr>
        <w:br/>
      </w:r>
      <w:r w:rsidRPr="00111FFB">
        <w:rPr>
          <w:rFonts w:eastAsia="Times New Roman" w:cs="Times New Roman"/>
          <w:b/>
          <w:color w:val="000000"/>
          <w:sz w:val="28"/>
          <w:szCs w:val="28"/>
          <w:lang w:eastAsia="de-DE"/>
        </w:rPr>
        <w:br/>
      </w:r>
      <w:r w:rsidRPr="00111FFB">
        <w:rPr>
          <w:rFonts w:eastAsia="Times New Roman" w:cs="Times New Roman"/>
          <w:color w:val="000000"/>
          <w:sz w:val="28"/>
          <w:szCs w:val="28"/>
          <w:lang w:eastAsia="de-DE"/>
        </w:rPr>
        <w:t xml:space="preserve">Der Begriff der </w:t>
      </w:r>
      <w:proofErr w:type="spellStart"/>
      <w:r w:rsidRPr="00111FFB">
        <w:rPr>
          <w:rFonts w:eastAsia="Times New Roman" w:cs="Times New Roman"/>
          <w:color w:val="000000"/>
          <w:sz w:val="28"/>
          <w:szCs w:val="28"/>
          <w:lang w:eastAsia="de-DE"/>
        </w:rPr>
        <w:t>Inkulturation</w:t>
      </w:r>
      <w:proofErr w:type="spellEnd"/>
      <w:r w:rsidRPr="00111FFB">
        <w:rPr>
          <w:rFonts w:eastAsia="Times New Roman" w:cs="Times New Roman"/>
          <w:color w:val="000000"/>
          <w:sz w:val="28"/>
          <w:szCs w:val="28"/>
          <w:lang w:eastAsia="de-DE"/>
        </w:rPr>
        <w:t xml:space="preserve"> wird hier geradezu pervertiert, meint er doch eigentlich das Gegenteil von dem, was das Dokument der Internationalen Theologenkommission von 1988 darlegt, und schon das Missionsdekret „Ad </w:t>
      </w:r>
      <w:proofErr w:type="spellStart"/>
      <w:r w:rsidRPr="00111FFB">
        <w:rPr>
          <w:rFonts w:eastAsia="Times New Roman" w:cs="Times New Roman"/>
          <w:color w:val="000000"/>
          <w:sz w:val="28"/>
          <w:szCs w:val="28"/>
          <w:lang w:eastAsia="de-DE"/>
        </w:rPr>
        <w:t>gentes</w:t>
      </w:r>
      <w:proofErr w:type="spellEnd"/>
      <w:r w:rsidRPr="00111FFB">
        <w:rPr>
          <w:rFonts w:eastAsia="Times New Roman" w:cs="Times New Roman"/>
          <w:color w:val="000000"/>
          <w:sz w:val="28"/>
          <w:szCs w:val="28"/>
          <w:lang w:eastAsia="de-DE"/>
        </w:rPr>
        <w:t>“ des II. Vatikanischen Konzils gelehrt hatte.</w:t>
      </w:r>
    </w:p>
    <w:p w:rsidR="00111FFB" w:rsidRDefault="00111FFB" w:rsidP="00111FFB">
      <w:pPr>
        <w:pStyle w:val="Listenabsatz"/>
        <w:spacing w:before="100" w:beforeAutospacing="1" w:after="100" w:afterAutospacing="1" w:line="240" w:lineRule="auto"/>
        <w:jc w:val="center"/>
        <w:rPr>
          <w:rFonts w:eastAsia="Times New Roman" w:cs="Times New Roman"/>
          <w:b/>
          <w:bCs/>
          <w:color w:val="000000"/>
          <w:sz w:val="28"/>
          <w:szCs w:val="28"/>
          <w:lang w:eastAsia="de-DE"/>
        </w:rPr>
      </w:pPr>
      <w:r w:rsidRPr="00111FFB">
        <w:rPr>
          <w:rFonts w:eastAsia="Times New Roman" w:cs="Times New Roman"/>
          <w:color w:val="000000"/>
          <w:sz w:val="28"/>
          <w:szCs w:val="28"/>
          <w:lang w:eastAsia="de-DE"/>
        </w:rPr>
        <w:br/>
        <w:t xml:space="preserve">4. </w:t>
      </w:r>
      <w:r w:rsidRPr="00111FFB">
        <w:rPr>
          <w:rFonts w:eastAsia="Times New Roman" w:cs="Times New Roman"/>
          <w:b/>
          <w:bCs/>
          <w:color w:val="000000"/>
          <w:sz w:val="28"/>
          <w:szCs w:val="28"/>
          <w:lang w:eastAsia="de-DE"/>
        </w:rPr>
        <w:t>Über die Abschaffung des Zölibats und die Einführung eines Frauenpriestertums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Es konnte nicht verborgen bleiben, dass die „Synode“ vor allem dazu dienen sollte, zwei seit Jahrzehnten gehegte, bislang nie erfüllte „Herzensanliegen“ zu erfüllen: Abschaffung des Zölibats und Einführung des Frauenpriestertums – wozu mit geweihten Diakoninnen zu beginnen sei. Jedenfalls geht es darum, die „Rolle, die „</w:t>
      </w:r>
      <w:proofErr w:type="spellStart"/>
      <w:r w:rsidRPr="00111FFB">
        <w:rPr>
          <w:rFonts w:eastAsia="Times New Roman" w:cs="Times New Roman"/>
          <w:color w:val="000000"/>
          <w:sz w:val="28"/>
          <w:szCs w:val="28"/>
          <w:lang w:eastAsia="de-DE"/>
        </w:rPr>
        <w:t>leadership</w:t>
      </w:r>
      <w:proofErr w:type="spellEnd"/>
      <w:r w:rsidRPr="00111FFB">
        <w:rPr>
          <w:rFonts w:eastAsia="Times New Roman" w:cs="Times New Roman"/>
          <w:color w:val="000000"/>
          <w:sz w:val="28"/>
          <w:szCs w:val="28"/>
          <w:lang w:eastAsia="de-DE"/>
        </w:rPr>
        <w:t xml:space="preserve"> der Frau im Inneren der Kirche zu akzeptieren“ (Nr. 129a3). In ähnlichem Sinne öffnen sich „weitere Räume für die Schaffung neuer Dienstämter, wie sie dieser historische Augenblick erfordert. Es ist Zeit, auf die Stimme </w:t>
      </w:r>
      <w:proofErr w:type="spellStart"/>
      <w:r w:rsidRPr="00111FFB">
        <w:rPr>
          <w:rFonts w:eastAsia="Times New Roman" w:cs="Times New Roman"/>
          <w:color w:val="000000"/>
          <w:sz w:val="28"/>
          <w:szCs w:val="28"/>
          <w:lang w:eastAsia="de-DE"/>
        </w:rPr>
        <w:t>Amazoniens</w:t>
      </w:r>
      <w:proofErr w:type="spellEnd"/>
      <w:r w:rsidRPr="00111FFB">
        <w:rPr>
          <w:rFonts w:eastAsia="Times New Roman" w:cs="Times New Roman"/>
          <w:color w:val="000000"/>
          <w:sz w:val="28"/>
          <w:szCs w:val="28"/>
          <w:lang w:eastAsia="de-DE"/>
        </w:rPr>
        <w:t xml:space="preserve"> zu hören…“ (Nr. 43).</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Dabei wird verschwiegen, dass zuletzt auch Johannes Paul II. mit höchster lehramtlicher Autorität festgestellt hat, dass es nicht in der Macht der Kirche liegt, das Weihesakrament Frauen zu spenden. In der Tat hat die Kirche in zweitausend Jahren nie einer Frau das Sakrament der Weihe gespendet. Die diesem Befund entgegen gesetzte Forderung lässt </w:t>
      </w:r>
      <w:r w:rsidRPr="00111FFB">
        <w:rPr>
          <w:rFonts w:eastAsia="Times New Roman" w:cs="Times New Roman"/>
          <w:b/>
          <w:color w:val="000000"/>
          <w:sz w:val="28"/>
          <w:szCs w:val="28"/>
          <w:lang w:eastAsia="de-DE"/>
        </w:rPr>
        <w:t>den rein soziologischen Begriff von „Kirche“</w:t>
      </w:r>
      <w:r w:rsidRPr="00111FFB">
        <w:rPr>
          <w:rFonts w:eastAsia="Times New Roman" w:cs="Times New Roman"/>
          <w:color w:val="000000"/>
          <w:sz w:val="28"/>
          <w:szCs w:val="28"/>
          <w:lang w:eastAsia="de-DE"/>
        </w:rPr>
        <w:t xml:space="preserve"> die Verfasser des </w:t>
      </w:r>
      <w:r w:rsidRPr="00111FFB">
        <w:rPr>
          <w:rFonts w:eastAsia="Times New Roman" w:cs="Times New Roman"/>
          <w:color w:val="000000"/>
          <w:sz w:val="28"/>
          <w:szCs w:val="28"/>
          <w:lang w:eastAsia="de-DE"/>
        </w:rPr>
        <w:lastRenderedPageBreak/>
        <w:t>„</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erkennen, die den sakramental-hierarchischen Charakter solchermaßen implizit leugnen.</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b/>
          <w:bCs/>
          <w:color w:val="000000"/>
          <w:sz w:val="28"/>
          <w:szCs w:val="28"/>
          <w:lang w:eastAsia="de-DE"/>
        </w:rPr>
        <w:t>5. Über das Leugnen des sakramental-hierarchischen</w:t>
      </w:r>
    </w:p>
    <w:p w:rsidR="00111FFB" w:rsidRPr="00111FFB" w:rsidRDefault="00111FFB" w:rsidP="00111FFB">
      <w:pPr>
        <w:pStyle w:val="Listenabsatz"/>
        <w:spacing w:before="100" w:beforeAutospacing="1" w:after="100" w:afterAutospacing="1" w:line="240" w:lineRule="auto"/>
        <w:jc w:val="center"/>
        <w:rPr>
          <w:rFonts w:eastAsia="Times New Roman" w:cs="Times New Roman"/>
          <w:color w:val="000000"/>
          <w:sz w:val="28"/>
          <w:szCs w:val="28"/>
          <w:lang w:eastAsia="de-DE"/>
        </w:rPr>
      </w:pPr>
      <w:r w:rsidRPr="00111FFB">
        <w:rPr>
          <w:rFonts w:eastAsia="Times New Roman" w:cs="Times New Roman"/>
          <w:b/>
          <w:bCs/>
          <w:color w:val="000000"/>
          <w:sz w:val="28"/>
          <w:szCs w:val="28"/>
          <w:lang w:eastAsia="de-DE"/>
        </w:rPr>
        <w:t>Charakters der Kirche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Auf ähnliche, eher beiläufige Weise wird in Nr. 127 ein direkter Angriff auf die hierarchisch-sakramentale Verfasstheit der Kirche geführt, wenn gefragt wird, ob es nicht angebracht sei, zu „neu darüber nachzudenken, ob die Ausübung von Jurisdiktion in allen Bereichen (Sakrament, Gerichtswesen, Verwaltung) bleibend an das Sakrament der Weihe gebunden sein müsse“. Aus einer solchen falschen Sicht ergibt sich dann (in Nr. 129) die Forderung, neue Ämter zu schaffen, die den Bedürfnissen der Amazonasvölker entsprechen.</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Das Gebiet, auf dem die Ideologie des </w:t>
      </w:r>
      <w:proofErr w:type="spellStart"/>
      <w:r w:rsidRPr="00111FFB">
        <w:rPr>
          <w:rFonts w:eastAsia="Times New Roman" w:cs="Times New Roman"/>
          <w:color w:val="000000"/>
          <w:sz w:val="28"/>
          <w:szCs w:val="28"/>
          <w:lang w:eastAsia="de-DE"/>
        </w:rPr>
        <w:t>Indigenismus</w:t>
      </w:r>
      <w:proofErr w:type="spellEnd"/>
      <w:r w:rsidRPr="00111FFB">
        <w:rPr>
          <w:rFonts w:eastAsia="Times New Roman" w:cs="Times New Roman"/>
          <w:color w:val="000000"/>
          <w:sz w:val="28"/>
          <w:szCs w:val="28"/>
          <w:lang w:eastAsia="de-DE"/>
        </w:rPr>
        <w:t xml:space="preserve"> einer falsch verstandenen </w:t>
      </w:r>
      <w:proofErr w:type="spellStart"/>
      <w:r w:rsidRPr="00111FFB">
        <w:rPr>
          <w:rFonts w:eastAsia="Times New Roman" w:cs="Times New Roman"/>
          <w:color w:val="000000"/>
          <w:sz w:val="28"/>
          <w:szCs w:val="28"/>
          <w:lang w:eastAsia="de-DE"/>
        </w:rPr>
        <w:t>Inkulturation</w:t>
      </w:r>
      <w:proofErr w:type="spellEnd"/>
      <w:r w:rsidRPr="00111FFB">
        <w:rPr>
          <w:rFonts w:eastAsia="Times New Roman" w:cs="Times New Roman"/>
          <w:color w:val="000000"/>
          <w:sz w:val="28"/>
          <w:szCs w:val="28"/>
          <w:lang w:eastAsia="de-DE"/>
        </w:rPr>
        <w:t xml:space="preserve"> in besonders spektakulärer Weise Ausdruck finden soll, ist jedoch die Liturgie, der Kult. Hier sollen durchaus Formen aus den Naturreligionen übernommen werden. Dem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steht es nicht an, zu fordern, dass „das arme und einfache Volk seinen (!) Glauben durch Bilder, Symbole, Traditionen, Riten und andere Sakramente“ (!!) zum Ausdruck bringen könne (126e). Dies entspricht keinesfalls den Vorgaben der Konstitution „</w:t>
      </w:r>
      <w:proofErr w:type="spellStart"/>
      <w:r w:rsidRPr="00111FFB">
        <w:rPr>
          <w:rFonts w:eastAsia="Times New Roman" w:cs="Times New Roman"/>
          <w:color w:val="000000"/>
          <w:sz w:val="28"/>
          <w:szCs w:val="28"/>
          <w:lang w:eastAsia="de-DE"/>
        </w:rPr>
        <w:t>Sacrosanctum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Concilium</w:t>
      </w:r>
      <w:proofErr w:type="spellEnd"/>
      <w:r w:rsidRPr="00111FFB">
        <w:rPr>
          <w:rFonts w:eastAsia="Times New Roman" w:cs="Times New Roman"/>
          <w:color w:val="000000"/>
          <w:sz w:val="28"/>
          <w:szCs w:val="28"/>
          <w:lang w:eastAsia="de-DE"/>
        </w:rPr>
        <w:t xml:space="preserve">“ wie auch dem Missionsdekret „Ad </w:t>
      </w:r>
      <w:proofErr w:type="spellStart"/>
      <w:r w:rsidRPr="00111FFB">
        <w:rPr>
          <w:rFonts w:eastAsia="Times New Roman" w:cs="Times New Roman"/>
          <w:color w:val="000000"/>
          <w:sz w:val="28"/>
          <w:szCs w:val="28"/>
          <w:lang w:eastAsia="de-DE"/>
        </w:rPr>
        <w:t>gentes</w:t>
      </w:r>
      <w:proofErr w:type="spellEnd"/>
      <w:r w:rsidRPr="00111FFB">
        <w:rPr>
          <w:rFonts w:eastAsia="Times New Roman" w:cs="Times New Roman"/>
          <w:color w:val="000000"/>
          <w:sz w:val="28"/>
          <w:szCs w:val="28"/>
          <w:lang w:eastAsia="de-DE"/>
        </w:rPr>
        <w:t>“, und zeigt ein rein horizontales Verständnis von Liturgie.</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b/>
          <w:bCs/>
          <w:color w:val="000000"/>
          <w:sz w:val="28"/>
          <w:szCs w:val="28"/>
          <w:lang w:eastAsia="de-DE"/>
        </w:rPr>
        <w:t>5. Fazit </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 xml:space="preserve">Summa summarum: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mutet der Bischofssynode und schließlich dem Papst einen schwerwiegenden Bruch mit dem „Depositum </w:t>
      </w:r>
      <w:proofErr w:type="spellStart"/>
      <w:r w:rsidRPr="00111FFB">
        <w:rPr>
          <w:rFonts w:eastAsia="Times New Roman" w:cs="Times New Roman"/>
          <w:color w:val="000000"/>
          <w:sz w:val="28"/>
          <w:szCs w:val="28"/>
          <w:lang w:eastAsia="de-DE"/>
        </w:rPr>
        <w:t>fidei</w:t>
      </w:r>
      <w:proofErr w:type="spellEnd"/>
      <w:r w:rsidRPr="00111FFB">
        <w:rPr>
          <w:rFonts w:eastAsia="Times New Roman" w:cs="Times New Roman"/>
          <w:color w:val="000000"/>
          <w:sz w:val="28"/>
          <w:szCs w:val="28"/>
          <w:lang w:eastAsia="de-DE"/>
        </w:rPr>
        <w:t xml:space="preserve">“ zu, was in der Konsequenz Selbstzerstörung der Kirche bzw. deren Verwandlung vom „Corpus Christi </w:t>
      </w:r>
      <w:proofErr w:type="spellStart"/>
      <w:r w:rsidRPr="00111FFB">
        <w:rPr>
          <w:rFonts w:eastAsia="Times New Roman" w:cs="Times New Roman"/>
          <w:color w:val="000000"/>
          <w:sz w:val="28"/>
          <w:szCs w:val="28"/>
          <w:lang w:eastAsia="de-DE"/>
        </w:rPr>
        <w:t>mysticum</w:t>
      </w:r>
      <w:proofErr w:type="spellEnd"/>
      <w:r w:rsidRPr="00111FFB">
        <w:rPr>
          <w:rFonts w:eastAsia="Times New Roman" w:cs="Times New Roman"/>
          <w:color w:val="000000"/>
          <w:sz w:val="28"/>
          <w:szCs w:val="28"/>
          <w:lang w:eastAsia="de-DE"/>
        </w:rPr>
        <w:t>“ in eine säkulare NGO mit öko-sozio-psychologischem Auftrag bedeutet.</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Nach diesen Beobachtungen stellen sich natürlich Fragen: ist vor allem in Bezug auf die sakramental-hierarchische Struktur der Kirche ein entschiedener Bruch mit der für die Kirche konstitutiven Apostolischen Tradition beabsichtigt, oder gehen die Autoren eher von einem Begriff von Dogmenentwicklung aus, der die genannten Brüche theologisch rechtfertigen soll?</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lastRenderedPageBreak/>
        <w:t>Dies scheint in der Tat der Fall zu sein. Wir erleben eine Neuauflage des klassischen Modernismus des beginnenden 20. Jahrhunderts. Von einem dezidiert evolutionistischen Ansatz aus vertrat man damals die Auffassung, dass im Zuge der beständigen Höherentwicklung des Menschen sich auch Schritte zu einer jeweils höheren Bewusstseins- bzw. Kulturstufe ergeben, wobei es sich herausstellen kann, dass heute wahr ist, was gestern noch falsch war. Dieser evolutiven Dynamik unterliege natürlich auch die Religion bzw. das religiöse Bewusstsein mit seinen Ausformungen in Lehre und Kult – natürlich auch der Moral.</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b/>
          <w:color w:val="000000"/>
          <w:sz w:val="28"/>
          <w:szCs w:val="28"/>
          <w:lang w:eastAsia="de-DE"/>
        </w:rPr>
        <w:t>Damit wäre allerdings ein Begriff von Dogmenentwicklung vorausgesetzt, der dem genuin katholischen Verständnis schroff entgegengesetzt ist.</w:t>
      </w:r>
      <w:r w:rsidRPr="00111FFB">
        <w:rPr>
          <w:rFonts w:eastAsia="Times New Roman" w:cs="Times New Roman"/>
          <w:color w:val="000000"/>
          <w:sz w:val="28"/>
          <w:szCs w:val="28"/>
          <w:lang w:eastAsia="de-DE"/>
        </w:rPr>
        <w:t xml:space="preserve"> Dieser versteht vielmehr Entwicklung von Dogma und Kirche nicht als Veränderung, sondern als organische Entfaltung des mit sich selbst identisch bleibenden Subjekts. So lehren die beiden Vatikanischen </w:t>
      </w:r>
      <w:proofErr w:type="spellStart"/>
      <w:r w:rsidRPr="00111FFB">
        <w:rPr>
          <w:rFonts w:eastAsia="Times New Roman" w:cs="Times New Roman"/>
          <w:color w:val="000000"/>
          <w:sz w:val="28"/>
          <w:szCs w:val="28"/>
          <w:lang w:eastAsia="de-DE"/>
        </w:rPr>
        <w:t>Konzilien</w:t>
      </w:r>
      <w:proofErr w:type="spellEnd"/>
      <w:r w:rsidRPr="00111FFB">
        <w:rPr>
          <w:rFonts w:eastAsia="Times New Roman" w:cs="Times New Roman"/>
          <w:color w:val="000000"/>
          <w:sz w:val="28"/>
          <w:szCs w:val="28"/>
          <w:lang w:eastAsia="de-DE"/>
        </w:rPr>
        <w:t xml:space="preserve"> in den Konstitutionen „</w:t>
      </w:r>
      <w:proofErr w:type="spellStart"/>
      <w:r w:rsidRPr="00111FFB">
        <w:rPr>
          <w:rFonts w:eastAsia="Times New Roman" w:cs="Times New Roman"/>
          <w:color w:val="000000"/>
          <w:sz w:val="28"/>
          <w:szCs w:val="28"/>
          <w:lang w:eastAsia="de-DE"/>
        </w:rPr>
        <w:t>Dei</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filius</w:t>
      </w:r>
      <w:proofErr w:type="spellEnd"/>
      <w:r w:rsidRPr="00111FFB">
        <w:rPr>
          <w:rFonts w:eastAsia="Times New Roman" w:cs="Times New Roman"/>
          <w:color w:val="000000"/>
          <w:sz w:val="28"/>
          <w:szCs w:val="28"/>
          <w:lang w:eastAsia="de-DE"/>
        </w:rPr>
        <w:t>“, „</w:t>
      </w:r>
      <w:proofErr w:type="spellStart"/>
      <w:r w:rsidRPr="00111FFB">
        <w:rPr>
          <w:rFonts w:eastAsia="Times New Roman" w:cs="Times New Roman"/>
          <w:color w:val="000000"/>
          <w:sz w:val="28"/>
          <w:szCs w:val="28"/>
          <w:lang w:eastAsia="de-DE"/>
        </w:rPr>
        <w:t>Lumen</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gentium“und</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Dei</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verbum</w:t>
      </w:r>
      <w:proofErr w:type="spellEnd"/>
      <w:r w:rsidRPr="00111FFB">
        <w:rPr>
          <w:rFonts w:eastAsia="Times New Roman" w:cs="Times New Roman"/>
          <w:color w:val="000000"/>
          <w:sz w:val="28"/>
          <w:szCs w:val="28"/>
          <w:lang w:eastAsia="de-DE"/>
        </w:rPr>
        <w:t>“.</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t>Es ist mit Nachdruck festzuhalten, dass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in entscheidenden Punkten der verbindlichen Lehre der Kirche widerspricht, und darum als häretisch zu qualifizieren ist. </w:t>
      </w:r>
      <w:r w:rsidRPr="00627B9A">
        <w:rPr>
          <w:rFonts w:eastAsia="Times New Roman" w:cs="Times New Roman"/>
          <w:b/>
          <w:color w:val="000000"/>
          <w:sz w:val="28"/>
          <w:szCs w:val="28"/>
          <w:lang w:eastAsia="de-DE"/>
        </w:rPr>
        <w:t>Sofern sogar die Tatsache der Göttlichen Offenbarung in Frage gestellt bzw. missverstanden wird, ist darüber hinaus von Apostasie zu sprechen.</w:t>
      </w:r>
      <w:r w:rsidRPr="00627B9A">
        <w:rPr>
          <w:rFonts w:eastAsia="Times New Roman" w:cs="Times New Roman"/>
          <w:b/>
          <w:color w:val="000000"/>
          <w:sz w:val="28"/>
          <w:szCs w:val="28"/>
          <w:lang w:eastAsia="de-DE"/>
        </w:rPr>
        <w:br/>
      </w:r>
      <w:r w:rsidRPr="00627B9A">
        <w:rPr>
          <w:rFonts w:eastAsia="Times New Roman" w:cs="Times New Roman"/>
          <w:b/>
          <w:color w:val="000000"/>
          <w:sz w:val="28"/>
          <w:szCs w:val="28"/>
          <w:lang w:eastAsia="de-DE"/>
        </w:rPr>
        <w:br/>
      </w:r>
      <w:r w:rsidRPr="00111FFB">
        <w:rPr>
          <w:rFonts w:eastAsia="Times New Roman" w:cs="Times New Roman"/>
          <w:color w:val="000000"/>
          <w:sz w:val="28"/>
          <w:szCs w:val="28"/>
          <w:lang w:eastAsia="de-DE"/>
        </w:rPr>
        <w:t>Dies ist umso mehr begründet, als festzustellen ist, dass das „</w:t>
      </w:r>
      <w:proofErr w:type="spellStart"/>
      <w:r w:rsidRPr="00111FFB">
        <w:rPr>
          <w:rFonts w:eastAsia="Times New Roman" w:cs="Times New Roman"/>
          <w:color w:val="000000"/>
          <w:sz w:val="28"/>
          <w:szCs w:val="28"/>
          <w:lang w:eastAsia="de-DE"/>
        </w:rPr>
        <w:t>Instrumentum</w:t>
      </w:r>
      <w:proofErr w:type="spellEnd"/>
      <w:r w:rsidRPr="00111FFB">
        <w:rPr>
          <w:rFonts w:eastAsia="Times New Roman" w:cs="Times New Roman"/>
          <w:color w:val="000000"/>
          <w:sz w:val="28"/>
          <w:szCs w:val="28"/>
          <w:lang w:eastAsia="de-DE"/>
        </w:rPr>
        <w:t xml:space="preserve"> </w:t>
      </w:r>
      <w:proofErr w:type="spellStart"/>
      <w:r w:rsidRPr="00111FFB">
        <w:rPr>
          <w:rFonts w:eastAsia="Times New Roman" w:cs="Times New Roman"/>
          <w:color w:val="000000"/>
          <w:sz w:val="28"/>
          <w:szCs w:val="28"/>
          <w:lang w:eastAsia="de-DE"/>
        </w:rPr>
        <w:t>laboris</w:t>
      </w:r>
      <w:proofErr w:type="spellEnd"/>
      <w:r w:rsidRPr="00111FFB">
        <w:rPr>
          <w:rFonts w:eastAsia="Times New Roman" w:cs="Times New Roman"/>
          <w:color w:val="000000"/>
          <w:sz w:val="28"/>
          <w:szCs w:val="28"/>
          <w:lang w:eastAsia="de-DE"/>
        </w:rPr>
        <w:t xml:space="preserve">“ von einem rein </w:t>
      </w:r>
      <w:proofErr w:type="spellStart"/>
      <w:r w:rsidRPr="00111FFB">
        <w:rPr>
          <w:rFonts w:eastAsia="Times New Roman" w:cs="Times New Roman"/>
          <w:color w:val="000000"/>
          <w:sz w:val="28"/>
          <w:szCs w:val="28"/>
          <w:lang w:eastAsia="de-DE"/>
        </w:rPr>
        <w:t>immanentistischen</w:t>
      </w:r>
      <w:proofErr w:type="spellEnd"/>
      <w:r w:rsidRPr="00111FFB">
        <w:rPr>
          <w:rFonts w:eastAsia="Times New Roman" w:cs="Times New Roman"/>
          <w:color w:val="000000"/>
          <w:sz w:val="28"/>
          <w:szCs w:val="28"/>
          <w:lang w:eastAsia="de-DE"/>
        </w:rPr>
        <w:t xml:space="preserve"> Religionsbegriff ausgeht und </w:t>
      </w:r>
      <w:r w:rsidRPr="00627B9A">
        <w:rPr>
          <w:rFonts w:eastAsia="Times New Roman" w:cs="Times New Roman"/>
          <w:b/>
          <w:color w:val="000000"/>
          <w:sz w:val="28"/>
          <w:szCs w:val="28"/>
          <w:lang w:eastAsia="de-DE"/>
        </w:rPr>
        <w:t>Religion als Ergebnis und Ausdrucksform spiritueller Selbsterfahrung des Menschen betrachtet</w:t>
      </w:r>
      <w:r w:rsidRPr="00111FFB">
        <w:rPr>
          <w:rFonts w:eastAsia="Times New Roman" w:cs="Times New Roman"/>
          <w:color w:val="000000"/>
          <w:sz w:val="28"/>
          <w:szCs w:val="28"/>
          <w:lang w:eastAsia="de-DE"/>
        </w:rPr>
        <w:t>. Die Verwendung christlicher Worte und Begriffe darf nicht darüber hinwegtäuschen, dass diese ungeachtet ihres ursprünglichen Inhalts als bloße Worthülsen dienen.ª</w:t>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r w:rsidRPr="00627B9A">
        <w:rPr>
          <w:rFonts w:eastAsia="Times New Roman" w:cs="Times New Roman"/>
          <w:b/>
          <w:color w:val="000000"/>
          <w:sz w:val="28"/>
          <w:szCs w:val="28"/>
          <w:lang w:eastAsia="de-DE"/>
        </w:rPr>
        <w:t>Das „</w:t>
      </w:r>
      <w:proofErr w:type="spellStart"/>
      <w:r w:rsidRPr="00627B9A">
        <w:rPr>
          <w:rFonts w:eastAsia="Times New Roman" w:cs="Times New Roman"/>
          <w:b/>
          <w:color w:val="000000"/>
          <w:sz w:val="28"/>
          <w:szCs w:val="28"/>
          <w:lang w:eastAsia="de-DE"/>
        </w:rPr>
        <w:t>Instrumentum</w:t>
      </w:r>
      <w:proofErr w:type="spellEnd"/>
      <w:r w:rsidRPr="00627B9A">
        <w:rPr>
          <w:rFonts w:eastAsia="Times New Roman" w:cs="Times New Roman"/>
          <w:b/>
          <w:color w:val="000000"/>
          <w:sz w:val="28"/>
          <w:szCs w:val="28"/>
          <w:lang w:eastAsia="de-DE"/>
        </w:rPr>
        <w:t xml:space="preserve"> </w:t>
      </w:r>
      <w:proofErr w:type="spellStart"/>
      <w:r w:rsidRPr="00627B9A">
        <w:rPr>
          <w:rFonts w:eastAsia="Times New Roman" w:cs="Times New Roman"/>
          <w:b/>
          <w:color w:val="000000"/>
          <w:sz w:val="28"/>
          <w:szCs w:val="28"/>
          <w:lang w:eastAsia="de-DE"/>
        </w:rPr>
        <w:t>laboris</w:t>
      </w:r>
      <w:proofErr w:type="spellEnd"/>
      <w:r w:rsidRPr="00627B9A">
        <w:rPr>
          <w:rFonts w:eastAsia="Times New Roman" w:cs="Times New Roman"/>
          <w:b/>
          <w:color w:val="000000"/>
          <w:sz w:val="28"/>
          <w:szCs w:val="28"/>
          <w:lang w:eastAsia="de-DE"/>
        </w:rPr>
        <w:t xml:space="preserve">“ für die </w:t>
      </w:r>
      <w:proofErr w:type="spellStart"/>
      <w:r w:rsidRPr="00627B9A">
        <w:rPr>
          <w:rFonts w:eastAsia="Times New Roman" w:cs="Times New Roman"/>
          <w:b/>
          <w:color w:val="000000"/>
          <w:sz w:val="28"/>
          <w:szCs w:val="28"/>
          <w:lang w:eastAsia="de-DE"/>
        </w:rPr>
        <w:t>Amazonien</w:t>
      </w:r>
      <w:proofErr w:type="spellEnd"/>
      <w:r w:rsidRPr="00627B9A">
        <w:rPr>
          <w:rFonts w:eastAsia="Times New Roman" w:cs="Times New Roman"/>
          <w:b/>
          <w:color w:val="000000"/>
          <w:sz w:val="28"/>
          <w:szCs w:val="28"/>
          <w:lang w:eastAsia="de-DE"/>
        </w:rPr>
        <w:t>-Synode stellt einen bislang kaum für möglich gehaltenen Angriff auf die Grundlagen des Glaubens dar und muss deshalb mit aller Entschiedenheit zurückgewiesen werden.</w:t>
      </w:r>
      <w:r w:rsidRPr="00627B9A">
        <w:rPr>
          <w:rFonts w:eastAsia="Times New Roman" w:cs="Times New Roman"/>
          <w:b/>
          <w:color w:val="000000"/>
          <w:sz w:val="28"/>
          <w:szCs w:val="28"/>
          <w:lang w:eastAsia="de-DE"/>
        </w:rPr>
        <w:br/>
      </w:r>
      <w:r w:rsidRPr="00111FFB">
        <w:rPr>
          <w:rFonts w:eastAsia="Times New Roman" w:cs="Times New Roman"/>
          <w:color w:val="000000"/>
          <w:sz w:val="28"/>
          <w:szCs w:val="28"/>
          <w:lang w:eastAsia="de-DE"/>
        </w:rPr>
        <w:br/>
      </w:r>
      <w:r w:rsidRPr="00111FFB">
        <w:rPr>
          <w:rFonts w:eastAsia="Times New Roman" w:cs="Times New Roman"/>
          <w:color w:val="000000"/>
          <w:sz w:val="28"/>
          <w:szCs w:val="28"/>
          <w:lang w:eastAsia="de-DE"/>
        </w:rPr>
        <w:br/>
      </w:r>
    </w:p>
    <w:p w:rsidR="00111FFB" w:rsidRPr="00111FFB" w:rsidRDefault="00111FFB" w:rsidP="00111FFB">
      <w:pPr>
        <w:spacing w:after="240" w:line="240" w:lineRule="auto"/>
        <w:rPr>
          <w:rFonts w:eastAsia="Times New Roman" w:cs="Times New Roman"/>
          <w:color w:val="000000"/>
          <w:sz w:val="28"/>
          <w:szCs w:val="28"/>
          <w:lang w:eastAsia="de-DE"/>
        </w:rPr>
      </w:pPr>
      <w:r w:rsidRPr="00111FFB">
        <w:rPr>
          <w:rFonts w:eastAsia="Times New Roman" w:cs="Times New Roman"/>
          <w:color w:val="000000"/>
          <w:sz w:val="28"/>
          <w:szCs w:val="28"/>
          <w:lang w:eastAsia="de-DE"/>
        </w:rPr>
        <w:t> </w:t>
      </w:r>
    </w:p>
    <w:p w:rsidR="00111FFB" w:rsidRPr="00111FFB" w:rsidRDefault="00111FFB" w:rsidP="00111FFB">
      <w:pPr>
        <w:spacing w:after="0" w:line="240" w:lineRule="auto"/>
        <w:rPr>
          <w:rFonts w:eastAsia="Times New Roman" w:cs="Times New Roman"/>
          <w:color w:val="000000"/>
          <w:sz w:val="28"/>
          <w:szCs w:val="28"/>
          <w:lang w:eastAsia="de-DE"/>
        </w:rPr>
      </w:pPr>
      <w:r w:rsidRPr="00111FFB">
        <w:rPr>
          <w:rFonts w:eastAsia="Times New Roman" w:cs="Times New Roman"/>
          <w:color w:val="000000"/>
          <w:sz w:val="28"/>
          <w:szCs w:val="28"/>
          <w:lang w:eastAsia="de-DE"/>
        </w:rPr>
        <w:lastRenderedPageBreak/>
        <w:br/>
      </w:r>
      <w:r w:rsidRPr="00111FFB">
        <w:rPr>
          <w:rFonts w:eastAsia="Times New Roman" w:cs="Times New Roman"/>
          <w:color w:val="000000"/>
          <w:sz w:val="28"/>
          <w:szCs w:val="28"/>
          <w:lang w:eastAsia="de-DE"/>
        </w:rPr>
        <w:br/>
        <w:t> </w:t>
      </w:r>
    </w:p>
    <w:p w:rsidR="005F1B23" w:rsidRPr="00111FFB" w:rsidRDefault="005F1B23">
      <w:pPr>
        <w:rPr>
          <w:sz w:val="28"/>
          <w:szCs w:val="28"/>
        </w:rPr>
      </w:pPr>
    </w:p>
    <w:sectPr w:rsidR="005F1B23" w:rsidRPr="00111FF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51A3C"/>
    <w:multiLevelType w:val="hybridMultilevel"/>
    <w:tmpl w:val="39D2B54C"/>
    <w:lvl w:ilvl="0" w:tplc="0407000F">
      <w:start w:val="1"/>
      <w:numFmt w:val="decimal"/>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FB"/>
    <w:rsid w:val="0000690A"/>
    <w:rsid w:val="000116CD"/>
    <w:rsid w:val="00011FBD"/>
    <w:rsid w:val="00013311"/>
    <w:rsid w:val="0001646B"/>
    <w:rsid w:val="000253F4"/>
    <w:rsid w:val="0002613F"/>
    <w:rsid w:val="00027DB8"/>
    <w:rsid w:val="00030942"/>
    <w:rsid w:val="00037074"/>
    <w:rsid w:val="00042A0A"/>
    <w:rsid w:val="00042AFD"/>
    <w:rsid w:val="000430C4"/>
    <w:rsid w:val="000449F9"/>
    <w:rsid w:val="00046EC9"/>
    <w:rsid w:val="000513EA"/>
    <w:rsid w:val="0005388C"/>
    <w:rsid w:val="000560BB"/>
    <w:rsid w:val="00056D7E"/>
    <w:rsid w:val="00057AE2"/>
    <w:rsid w:val="00060972"/>
    <w:rsid w:val="00061113"/>
    <w:rsid w:val="000613BF"/>
    <w:rsid w:val="00066425"/>
    <w:rsid w:val="000664D0"/>
    <w:rsid w:val="000716DD"/>
    <w:rsid w:val="00071BA6"/>
    <w:rsid w:val="00074777"/>
    <w:rsid w:val="000A5527"/>
    <w:rsid w:val="000A7BFE"/>
    <w:rsid w:val="000B170C"/>
    <w:rsid w:val="000B5312"/>
    <w:rsid w:val="000B5440"/>
    <w:rsid w:val="000C084B"/>
    <w:rsid w:val="000C0ACA"/>
    <w:rsid w:val="000C51A4"/>
    <w:rsid w:val="000E2A68"/>
    <w:rsid w:val="000E4653"/>
    <w:rsid w:val="000E6751"/>
    <w:rsid w:val="000F2620"/>
    <w:rsid w:val="000F2E85"/>
    <w:rsid w:val="000F3730"/>
    <w:rsid w:val="000F6A17"/>
    <w:rsid w:val="000F7B6B"/>
    <w:rsid w:val="00101FEA"/>
    <w:rsid w:val="0010380B"/>
    <w:rsid w:val="00105394"/>
    <w:rsid w:val="00111E15"/>
    <w:rsid w:val="00111FFB"/>
    <w:rsid w:val="00112A5D"/>
    <w:rsid w:val="0011340B"/>
    <w:rsid w:val="00115258"/>
    <w:rsid w:val="00116A3E"/>
    <w:rsid w:val="00121E4B"/>
    <w:rsid w:val="0013054F"/>
    <w:rsid w:val="001318BB"/>
    <w:rsid w:val="00133B27"/>
    <w:rsid w:val="00135C89"/>
    <w:rsid w:val="00141170"/>
    <w:rsid w:val="00143949"/>
    <w:rsid w:val="00144C79"/>
    <w:rsid w:val="001456BC"/>
    <w:rsid w:val="001464F1"/>
    <w:rsid w:val="00146638"/>
    <w:rsid w:val="001471A2"/>
    <w:rsid w:val="00153CEC"/>
    <w:rsid w:val="0016025B"/>
    <w:rsid w:val="001602DF"/>
    <w:rsid w:val="001701E5"/>
    <w:rsid w:val="00183BAC"/>
    <w:rsid w:val="00183F61"/>
    <w:rsid w:val="00184676"/>
    <w:rsid w:val="00184ED3"/>
    <w:rsid w:val="001852ED"/>
    <w:rsid w:val="0018597B"/>
    <w:rsid w:val="00194F90"/>
    <w:rsid w:val="00196195"/>
    <w:rsid w:val="001A3559"/>
    <w:rsid w:val="001B0936"/>
    <w:rsid w:val="001B3A22"/>
    <w:rsid w:val="001B5235"/>
    <w:rsid w:val="001B62FA"/>
    <w:rsid w:val="001B646F"/>
    <w:rsid w:val="001C2F4A"/>
    <w:rsid w:val="001C3703"/>
    <w:rsid w:val="001C6693"/>
    <w:rsid w:val="001D14A8"/>
    <w:rsid w:val="001D1FFD"/>
    <w:rsid w:val="001D35DC"/>
    <w:rsid w:val="001D59A6"/>
    <w:rsid w:val="001D720D"/>
    <w:rsid w:val="001E205C"/>
    <w:rsid w:val="001E26C5"/>
    <w:rsid w:val="001E525D"/>
    <w:rsid w:val="001F2C9D"/>
    <w:rsid w:val="001F68A4"/>
    <w:rsid w:val="00201287"/>
    <w:rsid w:val="00214178"/>
    <w:rsid w:val="0022476D"/>
    <w:rsid w:val="00225FEB"/>
    <w:rsid w:val="00226850"/>
    <w:rsid w:val="00236521"/>
    <w:rsid w:val="00237D20"/>
    <w:rsid w:val="002401A3"/>
    <w:rsid w:val="002437F3"/>
    <w:rsid w:val="0024583B"/>
    <w:rsid w:val="00246D0E"/>
    <w:rsid w:val="00246FE0"/>
    <w:rsid w:val="0025016C"/>
    <w:rsid w:val="0025058F"/>
    <w:rsid w:val="00253AE2"/>
    <w:rsid w:val="002604BB"/>
    <w:rsid w:val="00261595"/>
    <w:rsid w:val="0027021C"/>
    <w:rsid w:val="00271147"/>
    <w:rsid w:val="00273431"/>
    <w:rsid w:val="00281085"/>
    <w:rsid w:val="0028531D"/>
    <w:rsid w:val="00286CBF"/>
    <w:rsid w:val="00290B50"/>
    <w:rsid w:val="00291EED"/>
    <w:rsid w:val="00291F98"/>
    <w:rsid w:val="00297D73"/>
    <w:rsid w:val="002A2EDB"/>
    <w:rsid w:val="002A7949"/>
    <w:rsid w:val="002B07A3"/>
    <w:rsid w:val="002B093F"/>
    <w:rsid w:val="002B0D30"/>
    <w:rsid w:val="002B0DD8"/>
    <w:rsid w:val="002C0F6E"/>
    <w:rsid w:val="002C1BD8"/>
    <w:rsid w:val="002C7138"/>
    <w:rsid w:val="002D22B0"/>
    <w:rsid w:val="002D2864"/>
    <w:rsid w:val="002D6465"/>
    <w:rsid w:val="002D7716"/>
    <w:rsid w:val="002E122D"/>
    <w:rsid w:val="002E20F8"/>
    <w:rsid w:val="002E47A1"/>
    <w:rsid w:val="002E50E2"/>
    <w:rsid w:val="002F0071"/>
    <w:rsid w:val="002F0368"/>
    <w:rsid w:val="002F0A32"/>
    <w:rsid w:val="002F17CF"/>
    <w:rsid w:val="002F318D"/>
    <w:rsid w:val="002F4BFB"/>
    <w:rsid w:val="002F5AF2"/>
    <w:rsid w:val="00300661"/>
    <w:rsid w:val="003021C0"/>
    <w:rsid w:val="0030434E"/>
    <w:rsid w:val="003045E2"/>
    <w:rsid w:val="003102D0"/>
    <w:rsid w:val="00311D9D"/>
    <w:rsid w:val="00315C03"/>
    <w:rsid w:val="00321A95"/>
    <w:rsid w:val="003230EE"/>
    <w:rsid w:val="00325EDA"/>
    <w:rsid w:val="003303F2"/>
    <w:rsid w:val="00335EE9"/>
    <w:rsid w:val="00342CD8"/>
    <w:rsid w:val="0034587A"/>
    <w:rsid w:val="00355742"/>
    <w:rsid w:val="0035588A"/>
    <w:rsid w:val="00357A16"/>
    <w:rsid w:val="0036187C"/>
    <w:rsid w:val="00364AE7"/>
    <w:rsid w:val="0036518C"/>
    <w:rsid w:val="00365C09"/>
    <w:rsid w:val="00366F49"/>
    <w:rsid w:val="00371181"/>
    <w:rsid w:val="00374709"/>
    <w:rsid w:val="00377E77"/>
    <w:rsid w:val="003804C8"/>
    <w:rsid w:val="00386C39"/>
    <w:rsid w:val="00391DEC"/>
    <w:rsid w:val="00392719"/>
    <w:rsid w:val="00393708"/>
    <w:rsid w:val="00395E37"/>
    <w:rsid w:val="00397FBD"/>
    <w:rsid w:val="003A26AA"/>
    <w:rsid w:val="003A3D27"/>
    <w:rsid w:val="003A51DD"/>
    <w:rsid w:val="003A738A"/>
    <w:rsid w:val="003B1D36"/>
    <w:rsid w:val="003B2DAA"/>
    <w:rsid w:val="003B41A4"/>
    <w:rsid w:val="003B707C"/>
    <w:rsid w:val="003C1374"/>
    <w:rsid w:val="003C16AB"/>
    <w:rsid w:val="003C21D9"/>
    <w:rsid w:val="003C2503"/>
    <w:rsid w:val="003C5048"/>
    <w:rsid w:val="003C7324"/>
    <w:rsid w:val="003C7CCC"/>
    <w:rsid w:val="003D333B"/>
    <w:rsid w:val="003D3916"/>
    <w:rsid w:val="003D6354"/>
    <w:rsid w:val="003E619A"/>
    <w:rsid w:val="003F2C68"/>
    <w:rsid w:val="003F5F4F"/>
    <w:rsid w:val="00404F0A"/>
    <w:rsid w:val="004118A9"/>
    <w:rsid w:val="00413860"/>
    <w:rsid w:val="004142E7"/>
    <w:rsid w:val="00414553"/>
    <w:rsid w:val="004147E6"/>
    <w:rsid w:val="004162DF"/>
    <w:rsid w:val="0041772D"/>
    <w:rsid w:val="00420C76"/>
    <w:rsid w:val="00422889"/>
    <w:rsid w:val="0042631F"/>
    <w:rsid w:val="00426897"/>
    <w:rsid w:val="00432134"/>
    <w:rsid w:val="004377A0"/>
    <w:rsid w:val="0044082F"/>
    <w:rsid w:val="00445255"/>
    <w:rsid w:val="00446057"/>
    <w:rsid w:val="00447EB4"/>
    <w:rsid w:val="004533EB"/>
    <w:rsid w:val="0045428B"/>
    <w:rsid w:val="00465039"/>
    <w:rsid w:val="0046715F"/>
    <w:rsid w:val="00472423"/>
    <w:rsid w:val="00473296"/>
    <w:rsid w:val="00473BE3"/>
    <w:rsid w:val="004747D6"/>
    <w:rsid w:val="0047692F"/>
    <w:rsid w:val="00480703"/>
    <w:rsid w:val="00482FF6"/>
    <w:rsid w:val="0049195C"/>
    <w:rsid w:val="004A0844"/>
    <w:rsid w:val="004A0E0D"/>
    <w:rsid w:val="004A1501"/>
    <w:rsid w:val="004A21CA"/>
    <w:rsid w:val="004A59E5"/>
    <w:rsid w:val="004A6550"/>
    <w:rsid w:val="004A6DC3"/>
    <w:rsid w:val="004A7B1B"/>
    <w:rsid w:val="004B578B"/>
    <w:rsid w:val="004B7A2D"/>
    <w:rsid w:val="004C0284"/>
    <w:rsid w:val="004C1209"/>
    <w:rsid w:val="004C319F"/>
    <w:rsid w:val="004C5910"/>
    <w:rsid w:val="004D1C00"/>
    <w:rsid w:val="004E2858"/>
    <w:rsid w:val="004E4416"/>
    <w:rsid w:val="004E6AFD"/>
    <w:rsid w:val="004F1423"/>
    <w:rsid w:val="004F3C2D"/>
    <w:rsid w:val="004F702F"/>
    <w:rsid w:val="00502C4A"/>
    <w:rsid w:val="00514654"/>
    <w:rsid w:val="0051541C"/>
    <w:rsid w:val="00515FE2"/>
    <w:rsid w:val="00520CAD"/>
    <w:rsid w:val="00521545"/>
    <w:rsid w:val="00532D66"/>
    <w:rsid w:val="00534301"/>
    <w:rsid w:val="00537801"/>
    <w:rsid w:val="00542A2B"/>
    <w:rsid w:val="00547A13"/>
    <w:rsid w:val="00551699"/>
    <w:rsid w:val="00552A75"/>
    <w:rsid w:val="0055552D"/>
    <w:rsid w:val="00561DFE"/>
    <w:rsid w:val="005635DE"/>
    <w:rsid w:val="00564192"/>
    <w:rsid w:val="00567F1D"/>
    <w:rsid w:val="0057034A"/>
    <w:rsid w:val="00571379"/>
    <w:rsid w:val="00571A72"/>
    <w:rsid w:val="00576041"/>
    <w:rsid w:val="005800B7"/>
    <w:rsid w:val="00582DBB"/>
    <w:rsid w:val="00582E10"/>
    <w:rsid w:val="0058310F"/>
    <w:rsid w:val="00584CB9"/>
    <w:rsid w:val="00587AEB"/>
    <w:rsid w:val="0059002C"/>
    <w:rsid w:val="005935C6"/>
    <w:rsid w:val="005A0185"/>
    <w:rsid w:val="005A206F"/>
    <w:rsid w:val="005A5E16"/>
    <w:rsid w:val="005B3600"/>
    <w:rsid w:val="005B5129"/>
    <w:rsid w:val="005B73D4"/>
    <w:rsid w:val="005C0458"/>
    <w:rsid w:val="005C1991"/>
    <w:rsid w:val="005D121C"/>
    <w:rsid w:val="005D27E1"/>
    <w:rsid w:val="005D6902"/>
    <w:rsid w:val="005E2353"/>
    <w:rsid w:val="005E6600"/>
    <w:rsid w:val="005F1A9B"/>
    <w:rsid w:val="005F1B23"/>
    <w:rsid w:val="005F4C3B"/>
    <w:rsid w:val="005F5638"/>
    <w:rsid w:val="005F741D"/>
    <w:rsid w:val="0060267C"/>
    <w:rsid w:val="0060425C"/>
    <w:rsid w:val="00611824"/>
    <w:rsid w:val="006166B2"/>
    <w:rsid w:val="00616EAF"/>
    <w:rsid w:val="00621DC8"/>
    <w:rsid w:val="00623578"/>
    <w:rsid w:val="00627B9A"/>
    <w:rsid w:val="00631963"/>
    <w:rsid w:val="00636815"/>
    <w:rsid w:val="006410E0"/>
    <w:rsid w:val="00650237"/>
    <w:rsid w:val="0065238F"/>
    <w:rsid w:val="00656D99"/>
    <w:rsid w:val="0066268D"/>
    <w:rsid w:val="006644A4"/>
    <w:rsid w:val="00665410"/>
    <w:rsid w:val="0067043A"/>
    <w:rsid w:val="00671A74"/>
    <w:rsid w:val="00672FBC"/>
    <w:rsid w:val="006738A2"/>
    <w:rsid w:val="0067601F"/>
    <w:rsid w:val="00686291"/>
    <w:rsid w:val="0069038E"/>
    <w:rsid w:val="006910C9"/>
    <w:rsid w:val="006914DB"/>
    <w:rsid w:val="0069306A"/>
    <w:rsid w:val="0069341B"/>
    <w:rsid w:val="0069536C"/>
    <w:rsid w:val="006A586A"/>
    <w:rsid w:val="006A67C4"/>
    <w:rsid w:val="006A6FBA"/>
    <w:rsid w:val="006B1A4E"/>
    <w:rsid w:val="006B1B1A"/>
    <w:rsid w:val="006B2A0C"/>
    <w:rsid w:val="006B4643"/>
    <w:rsid w:val="006C260D"/>
    <w:rsid w:val="006C30BB"/>
    <w:rsid w:val="006C3388"/>
    <w:rsid w:val="006C5483"/>
    <w:rsid w:val="006C7147"/>
    <w:rsid w:val="006D23AF"/>
    <w:rsid w:val="006D3B80"/>
    <w:rsid w:val="006D571A"/>
    <w:rsid w:val="006D6AD1"/>
    <w:rsid w:val="006D7D14"/>
    <w:rsid w:val="006D7EED"/>
    <w:rsid w:val="006E3790"/>
    <w:rsid w:val="006E59E7"/>
    <w:rsid w:val="006E731E"/>
    <w:rsid w:val="006F0A8C"/>
    <w:rsid w:val="006F1893"/>
    <w:rsid w:val="006F18FF"/>
    <w:rsid w:val="006F1A69"/>
    <w:rsid w:val="006F25CD"/>
    <w:rsid w:val="006F4D31"/>
    <w:rsid w:val="006F527A"/>
    <w:rsid w:val="006F5E30"/>
    <w:rsid w:val="006F6106"/>
    <w:rsid w:val="00702288"/>
    <w:rsid w:val="00702323"/>
    <w:rsid w:val="00702D91"/>
    <w:rsid w:val="00703DFE"/>
    <w:rsid w:val="007041DB"/>
    <w:rsid w:val="00706C88"/>
    <w:rsid w:val="00710602"/>
    <w:rsid w:val="007110F5"/>
    <w:rsid w:val="00720AF6"/>
    <w:rsid w:val="00724110"/>
    <w:rsid w:val="007325C8"/>
    <w:rsid w:val="00734F3A"/>
    <w:rsid w:val="00744BE0"/>
    <w:rsid w:val="00746126"/>
    <w:rsid w:val="007510B9"/>
    <w:rsid w:val="007523F2"/>
    <w:rsid w:val="00756B9F"/>
    <w:rsid w:val="00757778"/>
    <w:rsid w:val="00762608"/>
    <w:rsid w:val="00770A44"/>
    <w:rsid w:val="00770E89"/>
    <w:rsid w:val="00771DCF"/>
    <w:rsid w:val="00772DAC"/>
    <w:rsid w:val="00774142"/>
    <w:rsid w:val="00777700"/>
    <w:rsid w:val="00780D35"/>
    <w:rsid w:val="00782556"/>
    <w:rsid w:val="007908D4"/>
    <w:rsid w:val="00790DF7"/>
    <w:rsid w:val="00794C0E"/>
    <w:rsid w:val="00795FF1"/>
    <w:rsid w:val="00796990"/>
    <w:rsid w:val="0079761F"/>
    <w:rsid w:val="007A5150"/>
    <w:rsid w:val="007A78AB"/>
    <w:rsid w:val="007B21DD"/>
    <w:rsid w:val="007B2D82"/>
    <w:rsid w:val="007B38ED"/>
    <w:rsid w:val="007B6420"/>
    <w:rsid w:val="007C0AD1"/>
    <w:rsid w:val="007C0E77"/>
    <w:rsid w:val="007C19D4"/>
    <w:rsid w:val="007C1C20"/>
    <w:rsid w:val="007C1EA9"/>
    <w:rsid w:val="007D0610"/>
    <w:rsid w:val="007D170B"/>
    <w:rsid w:val="007E0094"/>
    <w:rsid w:val="007E5219"/>
    <w:rsid w:val="007E62E3"/>
    <w:rsid w:val="007E79A5"/>
    <w:rsid w:val="007F3C37"/>
    <w:rsid w:val="007F755E"/>
    <w:rsid w:val="00802C3C"/>
    <w:rsid w:val="008039D1"/>
    <w:rsid w:val="00810F99"/>
    <w:rsid w:val="00815F00"/>
    <w:rsid w:val="00816F85"/>
    <w:rsid w:val="0082466F"/>
    <w:rsid w:val="00826652"/>
    <w:rsid w:val="00835087"/>
    <w:rsid w:val="0083518F"/>
    <w:rsid w:val="00837D0E"/>
    <w:rsid w:val="00853FF8"/>
    <w:rsid w:val="0085639C"/>
    <w:rsid w:val="00860159"/>
    <w:rsid w:val="00860D05"/>
    <w:rsid w:val="0086158F"/>
    <w:rsid w:val="008635B2"/>
    <w:rsid w:val="00867890"/>
    <w:rsid w:val="008706F7"/>
    <w:rsid w:val="00875639"/>
    <w:rsid w:val="00876BA6"/>
    <w:rsid w:val="0087769B"/>
    <w:rsid w:val="00877D50"/>
    <w:rsid w:val="00880D8C"/>
    <w:rsid w:val="00882F17"/>
    <w:rsid w:val="0088304A"/>
    <w:rsid w:val="00885423"/>
    <w:rsid w:val="0088669C"/>
    <w:rsid w:val="00890C72"/>
    <w:rsid w:val="00892A04"/>
    <w:rsid w:val="00896A32"/>
    <w:rsid w:val="008A1240"/>
    <w:rsid w:val="008B0215"/>
    <w:rsid w:val="008B0393"/>
    <w:rsid w:val="008B51BD"/>
    <w:rsid w:val="008B7E72"/>
    <w:rsid w:val="008C250C"/>
    <w:rsid w:val="008C2EAA"/>
    <w:rsid w:val="008D020F"/>
    <w:rsid w:val="008D7208"/>
    <w:rsid w:val="008E1FEA"/>
    <w:rsid w:val="008E3D22"/>
    <w:rsid w:val="008E6C24"/>
    <w:rsid w:val="008F0F6E"/>
    <w:rsid w:val="008F390C"/>
    <w:rsid w:val="008F6EC3"/>
    <w:rsid w:val="008F7B70"/>
    <w:rsid w:val="008F7C9A"/>
    <w:rsid w:val="00900E5F"/>
    <w:rsid w:val="0090247C"/>
    <w:rsid w:val="00906FD5"/>
    <w:rsid w:val="00916B93"/>
    <w:rsid w:val="009259A9"/>
    <w:rsid w:val="009341F1"/>
    <w:rsid w:val="009375CE"/>
    <w:rsid w:val="009378BA"/>
    <w:rsid w:val="00943607"/>
    <w:rsid w:val="00951090"/>
    <w:rsid w:val="009532FE"/>
    <w:rsid w:val="00962BF5"/>
    <w:rsid w:val="00967111"/>
    <w:rsid w:val="00973DBF"/>
    <w:rsid w:val="00981A06"/>
    <w:rsid w:val="00981FFE"/>
    <w:rsid w:val="00983292"/>
    <w:rsid w:val="00985CCC"/>
    <w:rsid w:val="00991327"/>
    <w:rsid w:val="00992F6D"/>
    <w:rsid w:val="009A1F10"/>
    <w:rsid w:val="009A2751"/>
    <w:rsid w:val="009B68F9"/>
    <w:rsid w:val="009C5AC6"/>
    <w:rsid w:val="009D5A59"/>
    <w:rsid w:val="009E053B"/>
    <w:rsid w:val="009E3E3D"/>
    <w:rsid w:val="009F5018"/>
    <w:rsid w:val="009F77B0"/>
    <w:rsid w:val="00A01AF0"/>
    <w:rsid w:val="00A064F2"/>
    <w:rsid w:val="00A07417"/>
    <w:rsid w:val="00A105C6"/>
    <w:rsid w:val="00A110C4"/>
    <w:rsid w:val="00A11D11"/>
    <w:rsid w:val="00A17523"/>
    <w:rsid w:val="00A177E9"/>
    <w:rsid w:val="00A24518"/>
    <w:rsid w:val="00A24970"/>
    <w:rsid w:val="00A24D14"/>
    <w:rsid w:val="00A36C10"/>
    <w:rsid w:val="00A411C5"/>
    <w:rsid w:val="00A41EF3"/>
    <w:rsid w:val="00A4587B"/>
    <w:rsid w:val="00A506E0"/>
    <w:rsid w:val="00A60AF0"/>
    <w:rsid w:val="00A65E81"/>
    <w:rsid w:val="00A71DD7"/>
    <w:rsid w:val="00A76494"/>
    <w:rsid w:val="00A8210F"/>
    <w:rsid w:val="00A82918"/>
    <w:rsid w:val="00A83677"/>
    <w:rsid w:val="00A845EC"/>
    <w:rsid w:val="00A846B5"/>
    <w:rsid w:val="00AA5ACA"/>
    <w:rsid w:val="00AB61AD"/>
    <w:rsid w:val="00AB6D45"/>
    <w:rsid w:val="00AB75E7"/>
    <w:rsid w:val="00AC1531"/>
    <w:rsid w:val="00AC21C4"/>
    <w:rsid w:val="00AC3A21"/>
    <w:rsid w:val="00AC4FA0"/>
    <w:rsid w:val="00AC605E"/>
    <w:rsid w:val="00AD07F8"/>
    <w:rsid w:val="00AD16EC"/>
    <w:rsid w:val="00AD3B45"/>
    <w:rsid w:val="00AD5826"/>
    <w:rsid w:val="00AE44C2"/>
    <w:rsid w:val="00AE50C2"/>
    <w:rsid w:val="00AE53CB"/>
    <w:rsid w:val="00AE71ED"/>
    <w:rsid w:val="00AE76AF"/>
    <w:rsid w:val="00AF1F57"/>
    <w:rsid w:val="00AF2230"/>
    <w:rsid w:val="00AF61F1"/>
    <w:rsid w:val="00B02AF9"/>
    <w:rsid w:val="00B03317"/>
    <w:rsid w:val="00B1266A"/>
    <w:rsid w:val="00B14BC2"/>
    <w:rsid w:val="00B16F55"/>
    <w:rsid w:val="00B2097B"/>
    <w:rsid w:val="00B21DCD"/>
    <w:rsid w:val="00B23724"/>
    <w:rsid w:val="00B23E66"/>
    <w:rsid w:val="00B25520"/>
    <w:rsid w:val="00B255B8"/>
    <w:rsid w:val="00B26E81"/>
    <w:rsid w:val="00B2778E"/>
    <w:rsid w:val="00B27C6C"/>
    <w:rsid w:val="00B3300A"/>
    <w:rsid w:val="00B35B5E"/>
    <w:rsid w:val="00B370A6"/>
    <w:rsid w:val="00B54AAD"/>
    <w:rsid w:val="00B54F73"/>
    <w:rsid w:val="00B5611C"/>
    <w:rsid w:val="00B57DBF"/>
    <w:rsid w:val="00B6480E"/>
    <w:rsid w:val="00B65193"/>
    <w:rsid w:val="00B659D3"/>
    <w:rsid w:val="00B66111"/>
    <w:rsid w:val="00B6702A"/>
    <w:rsid w:val="00B671BD"/>
    <w:rsid w:val="00B67CAB"/>
    <w:rsid w:val="00B704BC"/>
    <w:rsid w:val="00B71BBA"/>
    <w:rsid w:val="00B725A4"/>
    <w:rsid w:val="00B818AD"/>
    <w:rsid w:val="00B8390C"/>
    <w:rsid w:val="00B83D79"/>
    <w:rsid w:val="00B85D2D"/>
    <w:rsid w:val="00B95731"/>
    <w:rsid w:val="00BA3776"/>
    <w:rsid w:val="00BA493C"/>
    <w:rsid w:val="00BA7470"/>
    <w:rsid w:val="00BB369C"/>
    <w:rsid w:val="00BB41E0"/>
    <w:rsid w:val="00BB61D5"/>
    <w:rsid w:val="00BC032C"/>
    <w:rsid w:val="00BC1B50"/>
    <w:rsid w:val="00BC32EC"/>
    <w:rsid w:val="00BC39E6"/>
    <w:rsid w:val="00BC4E92"/>
    <w:rsid w:val="00BE36AD"/>
    <w:rsid w:val="00BE53C6"/>
    <w:rsid w:val="00BE7B79"/>
    <w:rsid w:val="00BF602E"/>
    <w:rsid w:val="00C0080A"/>
    <w:rsid w:val="00C15972"/>
    <w:rsid w:val="00C21DB8"/>
    <w:rsid w:val="00C2334A"/>
    <w:rsid w:val="00C27984"/>
    <w:rsid w:val="00C30268"/>
    <w:rsid w:val="00C34C3A"/>
    <w:rsid w:val="00C35E73"/>
    <w:rsid w:val="00C40BC9"/>
    <w:rsid w:val="00C41194"/>
    <w:rsid w:val="00C41256"/>
    <w:rsid w:val="00C41CBF"/>
    <w:rsid w:val="00C4224A"/>
    <w:rsid w:val="00C478E5"/>
    <w:rsid w:val="00C50C01"/>
    <w:rsid w:val="00C52CAA"/>
    <w:rsid w:val="00C55445"/>
    <w:rsid w:val="00C6052B"/>
    <w:rsid w:val="00C6340D"/>
    <w:rsid w:val="00C64448"/>
    <w:rsid w:val="00C64461"/>
    <w:rsid w:val="00C73762"/>
    <w:rsid w:val="00C77D3F"/>
    <w:rsid w:val="00C817D1"/>
    <w:rsid w:val="00C82185"/>
    <w:rsid w:val="00C90269"/>
    <w:rsid w:val="00C92BB6"/>
    <w:rsid w:val="00CA0087"/>
    <w:rsid w:val="00CA3D33"/>
    <w:rsid w:val="00CB04F5"/>
    <w:rsid w:val="00CB1B1B"/>
    <w:rsid w:val="00CB2B4F"/>
    <w:rsid w:val="00CB3BF2"/>
    <w:rsid w:val="00CB3CA7"/>
    <w:rsid w:val="00CB3D51"/>
    <w:rsid w:val="00CB52FD"/>
    <w:rsid w:val="00CB58E7"/>
    <w:rsid w:val="00CB65BB"/>
    <w:rsid w:val="00CB72FA"/>
    <w:rsid w:val="00CC3D25"/>
    <w:rsid w:val="00CC45D2"/>
    <w:rsid w:val="00CC6CEB"/>
    <w:rsid w:val="00CD4681"/>
    <w:rsid w:val="00CD5564"/>
    <w:rsid w:val="00CD5844"/>
    <w:rsid w:val="00CE7010"/>
    <w:rsid w:val="00CF0855"/>
    <w:rsid w:val="00CF1EA0"/>
    <w:rsid w:val="00CF2819"/>
    <w:rsid w:val="00CF45A2"/>
    <w:rsid w:val="00CF51D8"/>
    <w:rsid w:val="00CF5EC5"/>
    <w:rsid w:val="00CF616B"/>
    <w:rsid w:val="00D003B0"/>
    <w:rsid w:val="00D05077"/>
    <w:rsid w:val="00D0604F"/>
    <w:rsid w:val="00D06C5E"/>
    <w:rsid w:val="00D104F4"/>
    <w:rsid w:val="00D10EDC"/>
    <w:rsid w:val="00D13240"/>
    <w:rsid w:val="00D13408"/>
    <w:rsid w:val="00D1425B"/>
    <w:rsid w:val="00D155E7"/>
    <w:rsid w:val="00D1640B"/>
    <w:rsid w:val="00D2342E"/>
    <w:rsid w:val="00D30E82"/>
    <w:rsid w:val="00D36152"/>
    <w:rsid w:val="00D36FFB"/>
    <w:rsid w:val="00D37A06"/>
    <w:rsid w:val="00D40661"/>
    <w:rsid w:val="00D564E6"/>
    <w:rsid w:val="00D578C9"/>
    <w:rsid w:val="00D648C7"/>
    <w:rsid w:val="00D7333A"/>
    <w:rsid w:val="00D758D4"/>
    <w:rsid w:val="00D77105"/>
    <w:rsid w:val="00D8507E"/>
    <w:rsid w:val="00D924CF"/>
    <w:rsid w:val="00D9468B"/>
    <w:rsid w:val="00D97F7B"/>
    <w:rsid w:val="00DB0DF2"/>
    <w:rsid w:val="00DC13B8"/>
    <w:rsid w:val="00DC15E9"/>
    <w:rsid w:val="00DC3473"/>
    <w:rsid w:val="00DC6EF9"/>
    <w:rsid w:val="00DD09A9"/>
    <w:rsid w:val="00DD1672"/>
    <w:rsid w:val="00DE475C"/>
    <w:rsid w:val="00DE62E9"/>
    <w:rsid w:val="00DF1A02"/>
    <w:rsid w:val="00E1625C"/>
    <w:rsid w:val="00E16891"/>
    <w:rsid w:val="00E20D76"/>
    <w:rsid w:val="00E213E3"/>
    <w:rsid w:val="00E33C72"/>
    <w:rsid w:val="00E404E1"/>
    <w:rsid w:val="00E412E9"/>
    <w:rsid w:val="00E468DE"/>
    <w:rsid w:val="00E50312"/>
    <w:rsid w:val="00E51D80"/>
    <w:rsid w:val="00E5788F"/>
    <w:rsid w:val="00E64165"/>
    <w:rsid w:val="00E650DB"/>
    <w:rsid w:val="00E65127"/>
    <w:rsid w:val="00E66EAD"/>
    <w:rsid w:val="00E70C83"/>
    <w:rsid w:val="00E7396C"/>
    <w:rsid w:val="00E7523A"/>
    <w:rsid w:val="00E871BF"/>
    <w:rsid w:val="00E92146"/>
    <w:rsid w:val="00E9416F"/>
    <w:rsid w:val="00E94E2C"/>
    <w:rsid w:val="00E96450"/>
    <w:rsid w:val="00EA2463"/>
    <w:rsid w:val="00EA2C72"/>
    <w:rsid w:val="00EA3623"/>
    <w:rsid w:val="00EA40D8"/>
    <w:rsid w:val="00EB344D"/>
    <w:rsid w:val="00EB393B"/>
    <w:rsid w:val="00EB4814"/>
    <w:rsid w:val="00EB720D"/>
    <w:rsid w:val="00EC0517"/>
    <w:rsid w:val="00EC1A32"/>
    <w:rsid w:val="00EC74DC"/>
    <w:rsid w:val="00ED2336"/>
    <w:rsid w:val="00ED26EC"/>
    <w:rsid w:val="00ED36E6"/>
    <w:rsid w:val="00ED74DF"/>
    <w:rsid w:val="00EE4A85"/>
    <w:rsid w:val="00EE7326"/>
    <w:rsid w:val="00EF23DF"/>
    <w:rsid w:val="00EF2491"/>
    <w:rsid w:val="00EF2D09"/>
    <w:rsid w:val="00EF59F1"/>
    <w:rsid w:val="00EF5EE7"/>
    <w:rsid w:val="00F005F7"/>
    <w:rsid w:val="00F00F29"/>
    <w:rsid w:val="00F01DC1"/>
    <w:rsid w:val="00F02946"/>
    <w:rsid w:val="00F02F00"/>
    <w:rsid w:val="00F03F15"/>
    <w:rsid w:val="00F0403D"/>
    <w:rsid w:val="00F06D69"/>
    <w:rsid w:val="00F11C8B"/>
    <w:rsid w:val="00F1262F"/>
    <w:rsid w:val="00F17829"/>
    <w:rsid w:val="00F213D5"/>
    <w:rsid w:val="00F21C21"/>
    <w:rsid w:val="00F226B9"/>
    <w:rsid w:val="00F22764"/>
    <w:rsid w:val="00F2401B"/>
    <w:rsid w:val="00F240BF"/>
    <w:rsid w:val="00F24FDD"/>
    <w:rsid w:val="00F37C2A"/>
    <w:rsid w:val="00F400A7"/>
    <w:rsid w:val="00F4142F"/>
    <w:rsid w:val="00F44BAF"/>
    <w:rsid w:val="00F5145C"/>
    <w:rsid w:val="00F5442D"/>
    <w:rsid w:val="00F65BBB"/>
    <w:rsid w:val="00F67105"/>
    <w:rsid w:val="00F730BA"/>
    <w:rsid w:val="00F737BF"/>
    <w:rsid w:val="00F81D96"/>
    <w:rsid w:val="00F91169"/>
    <w:rsid w:val="00F92B79"/>
    <w:rsid w:val="00FA10F6"/>
    <w:rsid w:val="00FA297D"/>
    <w:rsid w:val="00FA3511"/>
    <w:rsid w:val="00FA434C"/>
    <w:rsid w:val="00FA4503"/>
    <w:rsid w:val="00FA4E98"/>
    <w:rsid w:val="00FB330A"/>
    <w:rsid w:val="00FB3CBB"/>
    <w:rsid w:val="00FC1891"/>
    <w:rsid w:val="00FD2774"/>
    <w:rsid w:val="00FD3670"/>
    <w:rsid w:val="00FD3A84"/>
    <w:rsid w:val="00FD6EF7"/>
    <w:rsid w:val="00FE3EDC"/>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A41F26-91C5-4245-84E2-14BC4193D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1F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3166759">
      <w:bodyDiv w:val="1"/>
      <w:marLeft w:val="0"/>
      <w:marRight w:val="0"/>
      <w:marTop w:val="0"/>
      <w:marBottom w:val="0"/>
      <w:divBdr>
        <w:top w:val="none" w:sz="0" w:space="0" w:color="auto"/>
        <w:left w:val="none" w:sz="0" w:space="0" w:color="auto"/>
        <w:bottom w:val="none" w:sz="0" w:space="0" w:color="auto"/>
        <w:right w:val="none" w:sz="0" w:space="0" w:color="auto"/>
      </w:divBdr>
      <w:divsChild>
        <w:div w:id="956720672">
          <w:marLeft w:val="150"/>
          <w:marRight w:val="150"/>
          <w:marTop w:val="0"/>
          <w:marBottom w:val="0"/>
          <w:divBdr>
            <w:top w:val="none" w:sz="0" w:space="0" w:color="auto"/>
            <w:left w:val="none" w:sz="0" w:space="0" w:color="auto"/>
            <w:bottom w:val="none" w:sz="0" w:space="0" w:color="auto"/>
            <w:right w:val="none" w:sz="0" w:space="0" w:color="auto"/>
          </w:divBdr>
        </w:div>
        <w:div w:id="126244356">
          <w:marLeft w:val="150"/>
          <w:marRight w:val="150"/>
          <w:marTop w:val="0"/>
          <w:marBottom w:val="0"/>
          <w:divBdr>
            <w:top w:val="none" w:sz="0" w:space="0" w:color="auto"/>
            <w:left w:val="none" w:sz="0" w:space="0" w:color="auto"/>
            <w:bottom w:val="none" w:sz="0" w:space="0" w:color="auto"/>
            <w:right w:val="none" w:sz="0" w:space="0" w:color="auto"/>
          </w:divBdr>
        </w:div>
        <w:div w:id="1893886885">
          <w:marLeft w:val="150"/>
          <w:marRight w:val="150"/>
          <w:marTop w:val="0"/>
          <w:marBottom w:val="0"/>
          <w:divBdr>
            <w:top w:val="none" w:sz="0" w:space="0" w:color="auto"/>
            <w:left w:val="none" w:sz="0" w:space="0" w:color="auto"/>
            <w:bottom w:val="none" w:sz="0" w:space="0" w:color="auto"/>
            <w:right w:val="none" w:sz="0" w:space="0" w:color="auto"/>
          </w:divBdr>
        </w:div>
        <w:div w:id="974800168">
          <w:marLeft w:val="0"/>
          <w:marRight w:val="0"/>
          <w:marTop w:val="0"/>
          <w:marBottom w:val="0"/>
          <w:divBdr>
            <w:top w:val="none" w:sz="0" w:space="0" w:color="auto"/>
            <w:left w:val="none" w:sz="0" w:space="0" w:color="auto"/>
            <w:bottom w:val="dotted" w:sz="6" w:space="4" w:color="A2A2A2"/>
            <w:right w:val="none" w:sz="0" w:space="0" w:color="auto"/>
          </w:divBdr>
        </w:div>
        <w:div w:id="635377987">
          <w:marLeft w:val="0"/>
          <w:marRight w:val="0"/>
          <w:marTop w:val="0"/>
          <w:marBottom w:val="0"/>
          <w:divBdr>
            <w:top w:val="none" w:sz="0" w:space="0" w:color="auto"/>
            <w:left w:val="none" w:sz="0" w:space="0" w:color="auto"/>
            <w:bottom w:val="dotted" w:sz="6" w:space="4" w:color="A2A2A2"/>
            <w:right w:val="none" w:sz="0" w:space="0" w:color="auto"/>
          </w:divBdr>
        </w:div>
        <w:div w:id="818426361">
          <w:marLeft w:val="0"/>
          <w:marRight w:val="0"/>
          <w:marTop w:val="0"/>
          <w:marBottom w:val="0"/>
          <w:divBdr>
            <w:top w:val="none" w:sz="0" w:space="0" w:color="auto"/>
            <w:left w:val="none" w:sz="0" w:space="0" w:color="auto"/>
            <w:bottom w:val="dotted" w:sz="6" w:space="4" w:color="A2A2A2"/>
            <w:right w:val="none" w:sz="0" w:space="0" w:color="auto"/>
          </w:divBdr>
        </w:div>
        <w:div w:id="1176310764">
          <w:marLeft w:val="0"/>
          <w:marRight w:val="0"/>
          <w:marTop w:val="0"/>
          <w:marBottom w:val="0"/>
          <w:divBdr>
            <w:top w:val="none" w:sz="0" w:space="0" w:color="auto"/>
            <w:left w:val="none" w:sz="0" w:space="0" w:color="auto"/>
            <w:bottom w:val="dotted" w:sz="6" w:space="4" w:color="A2A2A2"/>
            <w:right w:val="none" w:sz="0" w:space="0" w:color="auto"/>
          </w:divBdr>
        </w:div>
        <w:div w:id="1176773009">
          <w:marLeft w:val="0"/>
          <w:marRight w:val="0"/>
          <w:marTop w:val="0"/>
          <w:marBottom w:val="0"/>
          <w:divBdr>
            <w:top w:val="none" w:sz="0" w:space="0" w:color="auto"/>
            <w:left w:val="none" w:sz="0" w:space="0" w:color="auto"/>
            <w:bottom w:val="dotted" w:sz="6" w:space="4" w:color="A2A2A2"/>
            <w:right w:val="none" w:sz="0" w:space="0" w:color="auto"/>
          </w:divBdr>
        </w:div>
        <w:div w:id="2143189360">
          <w:marLeft w:val="1950"/>
          <w:marRight w:val="150"/>
          <w:marTop w:val="0"/>
          <w:marBottom w:val="0"/>
          <w:divBdr>
            <w:top w:val="none" w:sz="0" w:space="0" w:color="auto"/>
            <w:left w:val="none" w:sz="0" w:space="0" w:color="auto"/>
            <w:bottom w:val="none" w:sz="0" w:space="0" w:color="auto"/>
            <w:right w:val="none" w:sz="0" w:space="0" w:color="auto"/>
          </w:divBdr>
          <w:divsChild>
            <w:div w:id="1280339318">
              <w:marLeft w:val="150"/>
              <w:marRight w:val="150"/>
              <w:marTop w:val="0"/>
              <w:marBottom w:val="0"/>
              <w:divBdr>
                <w:top w:val="none" w:sz="0" w:space="0" w:color="auto"/>
                <w:left w:val="none" w:sz="0" w:space="0" w:color="auto"/>
                <w:bottom w:val="none" w:sz="0" w:space="0" w:color="auto"/>
                <w:right w:val="none" w:sz="0" w:space="0" w:color="auto"/>
              </w:divBdr>
            </w:div>
            <w:div w:id="181529141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1419</Words>
  <Characters>8945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2019-06-27T13:33:00Z</dcterms:created>
  <dcterms:modified xsi:type="dcterms:W3CDTF">2019-06-27T13:33:00Z</dcterms:modified>
</cp:coreProperties>
</file>